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39" w:rsidRDefault="009D2739">
      <w:pPr>
        <w:widowControl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FINAL </w:t>
      </w:r>
    </w:p>
    <w:p w:rsidR="006817C7" w:rsidRDefault="006817C7">
      <w:pPr>
        <w:widowControl w:val="0"/>
        <w:rPr>
          <w:sz w:val="18"/>
          <w:szCs w:val="18"/>
        </w:rPr>
      </w:pPr>
    </w:p>
    <w:p w:rsidR="005E3675" w:rsidRDefault="009D2739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July </w:t>
      </w:r>
      <w:r w:rsidR="006817C7">
        <w:rPr>
          <w:sz w:val="18"/>
          <w:szCs w:val="18"/>
        </w:rPr>
        <w:t>22</w:t>
      </w:r>
      <w:r>
        <w:rPr>
          <w:sz w:val="18"/>
          <w:szCs w:val="18"/>
        </w:rPr>
        <w:t xml:space="preserve">, 2011 </w:t>
      </w:r>
    </w:p>
    <w:p w:rsidR="006817C7" w:rsidRPr="00773814" w:rsidRDefault="006817C7">
      <w:pPr>
        <w:widowControl w:val="0"/>
        <w:rPr>
          <w:sz w:val="18"/>
          <w:szCs w:val="18"/>
        </w:rPr>
      </w:pPr>
    </w:p>
    <w:p w:rsidR="00DC2267" w:rsidRPr="00773814" w:rsidRDefault="00DC2267" w:rsidP="005E36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73814">
        <w:rPr>
          <w:b/>
        </w:rPr>
        <w:t>Faculty Mentoring Policy</w:t>
      </w:r>
    </w:p>
    <w:p w:rsidR="00DC2267" w:rsidRPr="005E3675" w:rsidRDefault="00DC2267" w:rsidP="005E36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E3675">
        <w:rPr>
          <w:b/>
        </w:rPr>
        <w:t>College of Agriculture and Natural Resources (CANR)</w:t>
      </w:r>
    </w:p>
    <w:p w:rsidR="005E3675" w:rsidRDefault="005E3675" w:rsidP="00555045">
      <w:pPr>
        <w:widowControl w:val="0"/>
        <w:jc w:val="center"/>
        <w:rPr>
          <w:b/>
          <w:sz w:val="22"/>
          <w:szCs w:val="22"/>
        </w:rPr>
      </w:pPr>
    </w:p>
    <w:p w:rsidR="00555045" w:rsidRPr="00141F3B" w:rsidRDefault="00555045" w:rsidP="00555045">
      <w:pPr>
        <w:widowControl w:val="0"/>
        <w:jc w:val="center"/>
        <w:rPr>
          <w:b/>
          <w:sz w:val="22"/>
          <w:szCs w:val="22"/>
        </w:rPr>
      </w:pPr>
      <w:r w:rsidRPr="00141F3B">
        <w:rPr>
          <w:b/>
          <w:sz w:val="22"/>
          <w:szCs w:val="22"/>
        </w:rPr>
        <w:t>Introduction</w:t>
      </w:r>
    </w:p>
    <w:p w:rsidR="00555045" w:rsidRDefault="00555045">
      <w:pPr>
        <w:widowControl w:val="0"/>
        <w:rPr>
          <w:sz w:val="22"/>
          <w:szCs w:val="22"/>
        </w:rPr>
      </w:pPr>
    </w:p>
    <w:p w:rsidR="00773814" w:rsidRDefault="00DC2267">
      <w:pPr>
        <w:widowControl w:val="0"/>
        <w:rPr>
          <w:sz w:val="22"/>
          <w:szCs w:val="22"/>
        </w:rPr>
      </w:pPr>
      <w:r w:rsidRPr="00773814">
        <w:rPr>
          <w:sz w:val="22"/>
          <w:szCs w:val="22"/>
        </w:rPr>
        <w:t>CANR is committed to the professional development and successful advancement of its faculty members.</w:t>
      </w:r>
      <w:r w:rsidR="00773814">
        <w:rPr>
          <w:sz w:val="22"/>
          <w:szCs w:val="22"/>
        </w:rPr>
        <w:t xml:space="preserve"> </w:t>
      </w:r>
      <w:r w:rsidR="00555045">
        <w:rPr>
          <w:sz w:val="22"/>
          <w:szCs w:val="22"/>
        </w:rPr>
        <w:t>Toward that end, s</w:t>
      </w:r>
      <w:r w:rsidR="00773814" w:rsidRPr="00773814">
        <w:rPr>
          <w:sz w:val="22"/>
          <w:szCs w:val="22"/>
        </w:rPr>
        <w:t xml:space="preserve">teps </w:t>
      </w:r>
      <w:r w:rsidR="00773814">
        <w:rPr>
          <w:sz w:val="22"/>
          <w:szCs w:val="22"/>
        </w:rPr>
        <w:t>need to be</w:t>
      </w:r>
      <w:r w:rsidR="00773814" w:rsidRPr="00773814">
        <w:rPr>
          <w:sz w:val="22"/>
          <w:szCs w:val="22"/>
        </w:rPr>
        <w:t xml:space="preserve"> taken to ensure that </w:t>
      </w:r>
      <w:r w:rsidR="00143E1F">
        <w:rPr>
          <w:sz w:val="22"/>
          <w:szCs w:val="22"/>
        </w:rPr>
        <w:t xml:space="preserve">faculty </w:t>
      </w:r>
      <w:r w:rsidR="00773814" w:rsidRPr="00773814">
        <w:rPr>
          <w:sz w:val="22"/>
          <w:szCs w:val="22"/>
        </w:rPr>
        <w:t xml:space="preserve">reviews </w:t>
      </w:r>
      <w:r w:rsidR="00143E1F">
        <w:rPr>
          <w:sz w:val="22"/>
          <w:szCs w:val="22"/>
        </w:rPr>
        <w:t xml:space="preserve">are conducted annually at the unit level (to include written assessments given to faculty members) and </w:t>
      </w:r>
      <w:r w:rsidR="00773814">
        <w:rPr>
          <w:sz w:val="22"/>
          <w:szCs w:val="22"/>
        </w:rPr>
        <w:t xml:space="preserve">that </w:t>
      </w:r>
      <w:r w:rsidR="00143E1F">
        <w:rPr>
          <w:sz w:val="22"/>
          <w:szCs w:val="22"/>
        </w:rPr>
        <w:t xml:space="preserve">faculty members are informed about the </w:t>
      </w:r>
      <w:r w:rsidR="00773814" w:rsidRPr="00773814">
        <w:rPr>
          <w:sz w:val="22"/>
          <w:szCs w:val="22"/>
        </w:rPr>
        <w:t xml:space="preserve">measures </w:t>
      </w:r>
      <w:r w:rsidR="00555045">
        <w:rPr>
          <w:sz w:val="22"/>
          <w:szCs w:val="22"/>
        </w:rPr>
        <w:t xml:space="preserve">and indicators </w:t>
      </w:r>
      <w:r w:rsidR="00143E1F">
        <w:rPr>
          <w:sz w:val="22"/>
          <w:szCs w:val="22"/>
        </w:rPr>
        <w:t xml:space="preserve">that will be </w:t>
      </w:r>
      <w:r w:rsidR="00773814">
        <w:rPr>
          <w:sz w:val="22"/>
          <w:szCs w:val="22"/>
        </w:rPr>
        <w:t xml:space="preserve">used to evaluate </w:t>
      </w:r>
      <w:r w:rsidR="00143E1F">
        <w:rPr>
          <w:sz w:val="22"/>
          <w:szCs w:val="22"/>
        </w:rPr>
        <w:t>their</w:t>
      </w:r>
      <w:r w:rsidR="00773814">
        <w:rPr>
          <w:sz w:val="22"/>
          <w:szCs w:val="22"/>
        </w:rPr>
        <w:t xml:space="preserve"> performance.</w:t>
      </w:r>
    </w:p>
    <w:p w:rsidR="00773814" w:rsidRDefault="00773814">
      <w:pPr>
        <w:widowControl w:val="0"/>
        <w:rPr>
          <w:sz w:val="22"/>
          <w:szCs w:val="22"/>
        </w:rPr>
      </w:pPr>
    </w:p>
    <w:p w:rsidR="00555045" w:rsidRDefault="0055504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In addition, the College believes that e</w:t>
      </w:r>
      <w:r w:rsidR="00DC2267" w:rsidRPr="00773814">
        <w:rPr>
          <w:sz w:val="22"/>
          <w:szCs w:val="22"/>
        </w:rPr>
        <w:t xml:space="preserve">ffective </w:t>
      </w:r>
      <w:r>
        <w:rPr>
          <w:sz w:val="22"/>
          <w:szCs w:val="22"/>
        </w:rPr>
        <w:t xml:space="preserve">faculty </w:t>
      </w:r>
      <w:r w:rsidR="00DC2267" w:rsidRPr="00773814">
        <w:rPr>
          <w:sz w:val="22"/>
          <w:szCs w:val="22"/>
        </w:rPr>
        <w:t xml:space="preserve">mentoring is an important component </w:t>
      </w:r>
      <w:r w:rsidR="005E3675">
        <w:rPr>
          <w:sz w:val="22"/>
          <w:szCs w:val="22"/>
        </w:rPr>
        <w:t xml:space="preserve">that </w:t>
      </w:r>
      <w:r w:rsidR="00DC2267" w:rsidRPr="00773814">
        <w:rPr>
          <w:sz w:val="22"/>
          <w:szCs w:val="22"/>
        </w:rPr>
        <w:t>contribut</w:t>
      </w:r>
      <w:r w:rsidR="005E3675">
        <w:rPr>
          <w:sz w:val="22"/>
          <w:szCs w:val="22"/>
        </w:rPr>
        <w:t>es</w:t>
      </w:r>
      <w:r w:rsidR="00DC2267" w:rsidRPr="00773814">
        <w:rPr>
          <w:sz w:val="22"/>
          <w:szCs w:val="22"/>
        </w:rPr>
        <w:t xml:space="preserve"> to successful professional development</w:t>
      </w:r>
      <w:r>
        <w:rPr>
          <w:sz w:val="22"/>
          <w:szCs w:val="22"/>
        </w:rPr>
        <w:t xml:space="preserve">. Effective mentoring </w:t>
      </w:r>
      <w:r w:rsidR="00DC2267" w:rsidRPr="00773814">
        <w:rPr>
          <w:sz w:val="22"/>
          <w:szCs w:val="22"/>
        </w:rPr>
        <w:t xml:space="preserve">involves activities </w:t>
      </w:r>
      <w:r>
        <w:rPr>
          <w:sz w:val="22"/>
          <w:szCs w:val="22"/>
        </w:rPr>
        <w:t xml:space="preserve">undertaken </w:t>
      </w:r>
      <w:r w:rsidR="00DC2267" w:rsidRPr="00773814">
        <w:rPr>
          <w:sz w:val="22"/>
          <w:szCs w:val="22"/>
        </w:rPr>
        <w:t>at the university, college</w:t>
      </w:r>
      <w:r w:rsidR="00773814" w:rsidRPr="00773814">
        <w:rPr>
          <w:sz w:val="22"/>
          <w:szCs w:val="22"/>
        </w:rPr>
        <w:t>,</w:t>
      </w:r>
      <w:r w:rsidR="00DC2267" w:rsidRPr="00773814">
        <w:rPr>
          <w:sz w:val="22"/>
          <w:szCs w:val="22"/>
        </w:rPr>
        <w:t xml:space="preserve"> and unit level</w:t>
      </w:r>
      <w:r>
        <w:rPr>
          <w:sz w:val="22"/>
          <w:szCs w:val="22"/>
        </w:rPr>
        <w:t>s</w:t>
      </w:r>
      <w:r w:rsidR="0099257D">
        <w:rPr>
          <w:sz w:val="22"/>
          <w:szCs w:val="22"/>
        </w:rPr>
        <w:t xml:space="preserve">. </w:t>
      </w:r>
      <w:r w:rsidR="00DC2267" w:rsidRPr="00773814">
        <w:rPr>
          <w:sz w:val="22"/>
          <w:szCs w:val="22"/>
        </w:rPr>
        <w:t>University policy requires that all colleges have a formal and substantive mentoring program for pre-tenure, tenure</w:t>
      </w:r>
      <w:r w:rsidR="00773814" w:rsidRPr="00773814">
        <w:rPr>
          <w:sz w:val="22"/>
          <w:szCs w:val="22"/>
        </w:rPr>
        <w:t>-</w:t>
      </w:r>
      <w:r w:rsidR="00DC2267" w:rsidRPr="00773814">
        <w:rPr>
          <w:sz w:val="22"/>
          <w:szCs w:val="22"/>
        </w:rPr>
        <w:t xml:space="preserve">stream faculty. </w:t>
      </w:r>
    </w:p>
    <w:p w:rsidR="005E3675" w:rsidRDefault="005E3675" w:rsidP="00555045">
      <w:pPr>
        <w:widowControl w:val="0"/>
        <w:jc w:val="center"/>
        <w:rPr>
          <w:b/>
          <w:sz w:val="22"/>
          <w:szCs w:val="22"/>
        </w:rPr>
      </w:pPr>
    </w:p>
    <w:p w:rsidR="00555045" w:rsidRPr="00141F3B" w:rsidRDefault="004F65A8" w:rsidP="00555045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Department/School Obligations</w:t>
      </w:r>
    </w:p>
    <w:p w:rsidR="00555045" w:rsidRDefault="00555045">
      <w:pPr>
        <w:widowControl w:val="0"/>
        <w:rPr>
          <w:sz w:val="22"/>
          <w:szCs w:val="22"/>
        </w:rPr>
      </w:pPr>
    </w:p>
    <w:p w:rsidR="00773814" w:rsidRPr="004F65A8" w:rsidRDefault="005E3675" w:rsidP="004F65A8">
      <w:pPr>
        <w:widowControl w:val="0"/>
        <w:rPr>
          <w:sz w:val="22"/>
          <w:szCs w:val="22"/>
        </w:rPr>
      </w:pPr>
      <w:r w:rsidRPr="00773814">
        <w:rPr>
          <w:sz w:val="22"/>
          <w:szCs w:val="22"/>
        </w:rPr>
        <w:t xml:space="preserve">CANR recognizes the central role that academic units play in </w:t>
      </w:r>
      <w:r>
        <w:rPr>
          <w:sz w:val="22"/>
          <w:szCs w:val="22"/>
        </w:rPr>
        <w:t xml:space="preserve">enabling </w:t>
      </w:r>
      <w:r w:rsidRPr="00773814">
        <w:rPr>
          <w:sz w:val="22"/>
          <w:szCs w:val="22"/>
        </w:rPr>
        <w:t xml:space="preserve">faculty development and </w:t>
      </w:r>
      <w:r>
        <w:rPr>
          <w:sz w:val="22"/>
          <w:szCs w:val="22"/>
        </w:rPr>
        <w:t xml:space="preserve">it also respects </w:t>
      </w:r>
      <w:r w:rsidRPr="00773814">
        <w:rPr>
          <w:sz w:val="22"/>
          <w:szCs w:val="22"/>
        </w:rPr>
        <w:t>the variation in disciplines</w:t>
      </w:r>
      <w:r>
        <w:rPr>
          <w:sz w:val="22"/>
          <w:szCs w:val="22"/>
        </w:rPr>
        <w:t xml:space="preserve">-professions </w:t>
      </w:r>
      <w:r w:rsidRPr="00773814">
        <w:rPr>
          <w:sz w:val="22"/>
          <w:szCs w:val="22"/>
        </w:rPr>
        <w:t xml:space="preserve">and missions </w:t>
      </w:r>
      <w:r>
        <w:rPr>
          <w:sz w:val="22"/>
          <w:szCs w:val="22"/>
        </w:rPr>
        <w:t xml:space="preserve">across academic </w:t>
      </w:r>
      <w:r w:rsidRPr="00773814">
        <w:rPr>
          <w:sz w:val="22"/>
          <w:szCs w:val="22"/>
        </w:rPr>
        <w:t>units</w:t>
      </w:r>
      <w:r>
        <w:rPr>
          <w:sz w:val="22"/>
          <w:szCs w:val="22"/>
        </w:rPr>
        <w:t xml:space="preserve"> in the College</w:t>
      </w:r>
      <w:r w:rsidRPr="00773814">
        <w:rPr>
          <w:sz w:val="22"/>
          <w:szCs w:val="22"/>
        </w:rPr>
        <w:t xml:space="preserve">. </w:t>
      </w:r>
      <w:r w:rsidR="004E7CCE">
        <w:rPr>
          <w:sz w:val="22"/>
          <w:szCs w:val="22"/>
        </w:rPr>
        <w:t xml:space="preserve">With those points in mind, </w:t>
      </w:r>
      <w:r w:rsidR="00773814" w:rsidRPr="004F65A8">
        <w:rPr>
          <w:sz w:val="22"/>
          <w:szCs w:val="22"/>
        </w:rPr>
        <w:t xml:space="preserve">academic units </w:t>
      </w:r>
      <w:r w:rsidR="004F65A8" w:rsidRPr="004F65A8">
        <w:rPr>
          <w:sz w:val="22"/>
          <w:szCs w:val="22"/>
        </w:rPr>
        <w:t>will</w:t>
      </w:r>
      <w:r w:rsidR="00DC2267" w:rsidRPr="004F65A8">
        <w:rPr>
          <w:sz w:val="22"/>
          <w:szCs w:val="22"/>
        </w:rPr>
        <w:t xml:space="preserve"> play the primary role in establishing formal and substantive mentoring for pre-tenure, tenure stream faculty</w:t>
      </w:r>
      <w:r w:rsidR="00143E1F">
        <w:rPr>
          <w:sz w:val="22"/>
          <w:szCs w:val="22"/>
        </w:rPr>
        <w:t xml:space="preserve"> members</w:t>
      </w:r>
      <w:r w:rsidR="004E7CCE">
        <w:rPr>
          <w:sz w:val="22"/>
          <w:szCs w:val="22"/>
        </w:rPr>
        <w:t>; and th</w:t>
      </w:r>
      <w:r w:rsidR="0099257D" w:rsidRPr="004F65A8">
        <w:rPr>
          <w:sz w:val="22"/>
          <w:szCs w:val="22"/>
        </w:rPr>
        <w:t xml:space="preserve">is mentoring </w:t>
      </w:r>
      <w:r w:rsidR="00143E1F">
        <w:rPr>
          <w:sz w:val="22"/>
          <w:szCs w:val="22"/>
        </w:rPr>
        <w:t>will</w:t>
      </w:r>
      <w:r w:rsidR="00773814" w:rsidRPr="004F65A8">
        <w:rPr>
          <w:sz w:val="22"/>
          <w:szCs w:val="22"/>
        </w:rPr>
        <w:t xml:space="preserve"> </w:t>
      </w:r>
      <w:r w:rsidR="0076623F" w:rsidRPr="004F65A8">
        <w:rPr>
          <w:sz w:val="22"/>
          <w:szCs w:val="22"/>
        </w:rPr>
        <w:t xml:space="preserve">continue </w:t>
      </w:r>
      <w:r w:rsidR="0099257D" w:rsidRPr="004F65A8">
        <w:rPr>
          <w:sz w:val="22"/>
          <w:szCs w:val="22"/>
        </w:rPr>
        <w:t>t</w:t>
      </w:r>
      <w:r w:rsidR="0076623F" w:rsidRPr="004F65A8">
        <w:rPr>
          <w:sz w:val="22"/>
          <w:szCs w:val="22"/>
        </w:rPr>
        <w:t xml:space="preserve">hrough the time of </w:t>
      </w:r>
      <w:r w:rsidR="00143E1F">
        <w:rPr>
          <w:sz w:val="22"/>
          <w:szCs w:val="22"/>
        </w:rPr>
        <w:t xml:space="preserve">advancement </w:t>
      </w:r>
      <w:r w:rsidR="0076623F" w:rsidRPr="004F65A8">
        <w:rPr>
          <w:sz w:val="22"/>
          <w:szCs w:val="22"/>
        </w:rPr>
        <w:t xml:space="preserve">to the rank of </w:t>
      </w:r>
      <w:r w:rsidR="00773814" w:rsidRPr="004F65A8">
        <w:rPr>
          <w:sz w:val="22"/>
          <w:szCs w:val="22"/>
        </w:rPr>
        <w:t>p</w:t>
      </w:r>
      <w:r w:rsidR="0076623F" w:rsidRPr="004F65A8">
        <w:rPr>
          <w:sz w:val="22"/>
          <w:szCs w:val="22"/>
        </w:rPr>
        <w:t>rofessor</w:t>
      </w:r>
      <w:r w:rsidRPr="004F65A8">
        <w:rPr>
          <w:sz w:val="22"/>
          <w:szCs w:val="22"/>
        </w:rPr>
        <w:t xml:space="preserve">. </w:t>
      </w:r>
      <w:r w:rsidR="004F65A8" w:rsidRPr="004F65A8">
        <w:rPr>
          <w:sz w:val="22"/>
          <w:szCs w:val="22"/>
        </w:rPr>
        <w:t xml:space="preserve">Mentoring will also be available to </w:t>
      </w:r>
      <w:r w:rsidR="007827E0">
        <w:rPr>
          <w:sz w:val="22"/>
          <w:szCs w:val="22"/>
        </w:rPr>
        <w:t>f</w:t>
      </w:r>
      <w:r w:rsidR="00765DC5">
        <w:rPr>
          <w:sz w:val="22"/>
          <w:szCs w:val="22"/>
        </w:rPr>
        <w:t xml:space="preserve">ixed-term </w:t>
      </w:r>
      <w:r w:rsidR="007827E0">
        <w:rPr>
          <w:sz w:val="22"/>
          <w:szCs w:val="22"/>
        </w:rPr>
        <w:t>f</w:t>
      </w:r>
      <w:r w:rsidR="00765DC5">
        <w:rPr>
          <w:sz w:val="22"/>
          <w:szCs w:val="22"/>
        </w:rPr>
        <w:t xml:space="preserve">aculty </w:t>
      </w:r>
      <w:r w:rsidR="007827E0">
        <w:rPr>
          <w:sz w:val="22"/>
          <w:szCs w:val="22"/>
        </w:rPr>
        <w:t xml:space="preserve">members </w:t>
      </w:r>
      <w:r w:rsidR="00765DC5">
        <w:rPr>
          <w:sz w:val="22"/>
          <w:szCs w:val="22"/>
        </w:rPr>
        <w:t>who hold the rank</w:t>
      </w:r>
      <w:r w:rsidR="007827E0">
        <w:rPr>
          <w:sz w:val="22"/>
          <w:szCs w:val="22"/>
        </w:rPr>
        <w:t>s</w:t>
      </w:r>
      <w:r w:rsidR="00765DC5">
        <w:rPr>
          <w:sz w:val="22"/>
          <w:szCs w:val="22"/>
        </w:rPr>
        <w:t xml:space="preserve"> of assistant professor and associate professor; and academic specialists who are appointed in the Continuing System, but who have not </w:t>
      </w:r>
      <w:r w:rsidR="007827E0">
        <w:rPr>
          <w:sz w:val="22"/>
          <w:szCs w:val="22"/>
        </w:rPr>
        <w:t xml:space="preserve">as </w:t>
      </w:r>
      <w:r w:rsidR="00765DC5">
        <w:rPr>
          <w:sz w:val="22"/>
          <w:szCs w:val="22"/>
        </w:rPr>
        <w:t xml:space="preserve">yet </w:t>
      </w:r>
      <w:r w:rsidR="007827E0">
        <w:rPr>
          <w:sz w:val="22"/>
          <w:szCs w:val="22"/>
        </w:rPr>
        <w:t>earned</w:t>
      </w:r>
      <w:r w:rsidR="00765DC5">
        <w:rPr>
          <w:sz w:val="22"/>
          <w:szCs w:val="22"/>
        </w:rPr>
        <w:t xml:space="preserve"> Continuing Status.</w:t>
      </w:r>
      <w:r w:rsidRPr="004F65A8">
        <w:rPr>
          <w:sz w:val="22"/>
          <w:szCs w:val="22"/>
        </w:rPr>
        <w:t xml:space="preserve"> </w:t>
      </w:r>
      <w:r w:rsidR="0076623F" w:rsidRPr="004F65A8">
        <w:rPr>
          <w:sz w:val="22"/>
          <w:szCs w:val="22"/>
        </w:rPr>
        <w:t xml:space="preserve"> </w:t>
      </w:r>
      <w:r w:rsidR="00DC2267" w:rsidRPr="004F65A8">
        <w:rPr>
          <w:sz w:val="22"/>
          <w:szCs w:val="22"/>
        </w:rPr>
        <w:t xml:space="preserve"> </w:t>
      </w:r>
    </w:p>
    <w:p w:rsidR="00773814" w:rsidRPr="00773814" w:rsidRDefault="00773814">
      <w:pPr>
        <w:widowControl w:val="0"/>
        <w:rPr>
          <w:sz w:val="22"/>
          <w:szCs w:val="22"/>
        </w:rPr>
      </w:pPr>
    </w:p>
    <w:p w:rsidR="00555045" w:rsidRDefault="00DC2267" w:rsidP="00555045">
      <w:pPr>
        <w:widowControl w:val="0"/>
        <w:rPr>
          <w:sz w:val="22"/>
          <w:szCs w:val="22"/>
        </w:rPr>
      </w:pPr>
      <w:r w:rsidRPr="00773814">
        <w:rPr>
          <w:sz w:val="22"/>
          <w:szCs w:val="22"/>
        </w:rPr>
        <w:t>The goals of department</w:t>
      </w:r>
      <w:r w:rsidR="00555045">
        <w:rPr>
          <w:sz w:val="22"/>
          <w:szCs w:val="22"/>
        </w:rPr>
        <w:t>/school</w:t>
      </w:r>
      <w:r w:rsidRPr="00773814">
        <w:rPr>
          <w:sz w:val="22"/>
          <w:szCs w:val="22"/>
        </w:rPr>
        <w:t xml:space="preserve"> mentoring may vary by academic unit, but at a minimum should:  </w:t>
      </w:r>
    </w:p>
    <w:p w:rsidR="0034367D" w:rsidRPr="0034367D" w:rsidRDefault="0034367D" w:rsidP="0034367D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34367D">
        <w:t xml:space="preserve">Support faculty excellence across the mission by helping faculty establish and sustain a leading research program; effective teaching and engagement of undergraduate and graduate students; and an effective and high-impact extension, outreach, and engagement program. </w:t>
      </w:r>
    </w:p>
    <w:p w:rsidR="0034367D" w:rsidRPr="0034367D" w:rsidRDefault="0034367D" w:rsidP="0034367D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34367D">
        <w:rPr>
          <w:iCs/>
        </w:rPr>
        <w:t>Encourage faculty involvement in professional activities</w:t>
      </w:r>
      <w:r w:rsidR="006E6DD5">
        <w:rPr>
          <w:iCs/>
        </w:rPr>
        <w:t>,</w:t>
      </w:r>
      <w:r w:rsidRPr="0034367D">
        <w:rPr>
          <w:iCs/>
        </w:rPr>
        <w:t xml:space="preserve"> nationally and internationally</w:t>
      </w:r>
      <w:r>
        <w:rPr>
          <w:iCs/>
        </w:rPr>
        <w:t>.</w:t>
      </w:r>
    </w:p>
    <w:p w:rsidR="00555045" w:rsidRPr="00143E1F" w:rsidRDefault="004E7CCE" w:rsidP="0034367D">
      <w:pPr>
        <w:widowControl w:val="0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Help faculty strengthen their </w:t>
      </w:r>
      <w:r w:rsidR="00DC2267" w:rsidRPr="00143E1F">
        <w:rPr>
          <w:sz w:val="22"/>
          <w:szCs w:val="22"/>
        </w:rPr>
        <w:t>institutional and disciplinary</w:t>
      </w:r>
      <w:r w:rsidR="00143E1F">
        <w:rPr>
          <w:sz w:val="22"/>
          <w:szCs w:val="22"/>
        </w:rPr>
        <w:t>-professional</w:t>
      </w:r>
      <w:r w:rsidR="00DC2267" w:rsidRPr="00143E1F">
        <w:rPr>
          <w:sz w:val="22"/>
          <w:szCs w:val="22"/>
        </w:rPr>
        <w:t xml:space="preserve"> leadership skills</w:t>
      </w:r>
      <w:r w:rsidR="006E6DD5">
        <w:rPr>
          <w:sz w:val="22"/>
          <w:szCs w:val="22"/>
        </w:rPr>
        <w:t>.</w:t>
      </w:r>
      <w:r w:rsidR="00DC2267" w:rsidRPr="00143E1F">
        <w:rPr>
          <w:sz w:val="22"/>
          <w:szCs w:val="22"/>
        </w:rPr>
        <w:t xml:space="preserve"> </w:t>
      </w:r>
    </w:p>
    <w:p w:rsidR="00DC2267" w:rsidRPr="00773814" w:rsidRDefault="00DC2267">
      <w:pPr>
        <w:widowControl w:val="0"/>
        <w:rPr>
          <w:sz w:val="22"/>
          <w:szCs w:val="22"/>
        </w:rPr>
      </w:pPr>
    </w:p>
    <w:p w:rsidR="00DC2267" w:rsidRDefault="00DC2267">
      <w:pPr>
        <w:widowControl w:val="0"/>
        <w:rPr>
          <w:sz w:val="22"/>
          <w:szCs w:val="22"/>
        </w:rPr>
      </w:pPr>
      <w:r w:rsidRPr="00773814">
        <w:rPr>
          <w:sz w:val="22"/>
          <w:szCs w:val="22"/>
        </w:rPr>
        <w:t xml:space="preserve">The mentoring </w:t>
      </w:r>
      <w:r w:rsidR="004E7CCE">
        <w:rPr>
          <w:sz w:val="22"/>
          <w:szCs w:val="22"/>
        </w:rPr>
        <w:t xml:space="preserve">approach </w:t>
      </w:r>
      <w:r w:rsidRPr="00773814">
        <w:rPr>
          <w:sz w:val="22"/>
          <w:szCs w:val="22"/>
        </w:rPr>
        <w:t>may vary among academic units</w:t>
      </w:r>
      <w:r w:rsidR="00143E1F">
        <w:rPr>
          <w:sz w:val="22"/>
          <w:szCs w:val="22"/>
        </w:rPr>
        <w:t>,</w:t>
      </w:r>
      <w:r w:rsidRPr="00773814">
        <w:rPr>
          <w:sz w:val="22"/>
          <w:szCs w:val="22"/>
        </w:rPr>
        <w:t xml:space="preserve"> but must include the following elements:</w:t>
      </w:r>
    </w:p>
    <w:p w:rsidR="006E6DD5" w:rsidRDefault="006E6DD5">
      <w:pPr>
        <w:widowControl w:val="0"/>
        <w:rPr>
          <w:sz w:val="22"/>
          <w:szCs w:val="22"/>
        </w:rPr>
      </w:pPr>
    </w:p>
    <w:p w:rsidR="004F65A8" w:rsidRDefault="00C35B84" w:rsidP="006E6DD5">
      <w:pPr>
        <w:widowControl w:val="0"/>
        <w:numPr>
          <w:ilvl w:val="0"/>
          <w:numId w:val="16"/>
        </w:numPr>
        <w:rPr>
          <w:sz w:val="22"/>
          <w:szCs w:val="22"/>
        </w:rPr>
      </w:pPr>
      <w:r w:rsidRPr="00C35B84">
        <w:rPr>
          <w:sz w:val="22"/>
          <w:szCs w:val="22"/>
        </w:rPr>
        <w:t>There will be a</w:t>
      </w:r>
      <w:r w:rsidR="00DC2267" w:rsidRPr="00C35B84">
        <w:rPr>
          <w:sz w:val="22"/>
          <w:szCs w:val="22"/>
        </w:rPr>
        <w:t xml:space="preserve"> written document</w:t>
      </w:r>
      <w:r w:rsidR="00141F3B" w:rsidRPr="00C35B84">
        <w:rPr>
          <w:sz w:val="22"/>
          <w:szCs w:val="22"/>
        </w:rPr>
        <w:t xml:space="preserve"> </w:t>
      </w:r>
      <w:r w:rsidR="00DC2267" w:rsidRPr="00C35B84">
        <w:rPr>
          <w:sz w:val="22"/>
          <w:szCs w:val="22"/>
        </w:rPr>
        <w:t xml:space="preserve">incorporated into the unit bylaws and actively implemented, </w:t>
      </w:r>
      <w:r w:rsidR="004F65A8" w:rsidRPr="00C35B84">
        <w:rPr>
          <w:sz w:val="22"/>
          <w:szCs w:val="22"/>
        </w:rPr>
        <w:t>which</w:t>
      </w:r>
      <w:r w:rsidR="00DC2267" w:rsidRPr="00C35B84">
        <w:rPr>
          <w:sz w:val="22"/>
          <w:szCs w:val="22"/>
        </w:rPr>
        <w:t xml:space="preserve"> identifies and communicates policies, goals</w:t>
      </w:r>
      <w:r w:rsidR="00141F3B" w:rsidRPr="00C35B84">
        <w:rPr>
          <w:sz w:val="22"/>
          <w:szCs w:val="22"/>
        </w:rPr>
        <w:t>,</w:t>
      </w:r>
      <w:r w:rsidR="00DC2267" w:rsidRPr="00C35B84">
        <w:rPr>
          <w:sz w:val="22"/>
          <w:szCs w:val="22"/>
        </w:rPr>
        <w:t xml:space="preserve"> and expectations for mentor(s) and </w:t>
      </w:r>
      <w:r w:rsidR="004E7CCE" w:rsidRPr="00C35B84">
        <w:rPr>
          <w:sz w:val="22"/>
          <w:szCs w:val="22"/>
        </w:rPr>
        <w:t>those being mentored</w:t>
      </w:r>
      <w:r w:rsidR="00DC2267" w:rsidRPr="00C35B84">
        <w:rPr>
          <w:sz w:val="22"/>
          <w:szCs w:val="22"/>
        </w:rPr>
        <w:t>.</w:t>
      </w:r>
      <w:r w:rsidR="004E7CCE" w:rsidRPr="00C35B84">
        <w:rPr>
          <w:sz w:val="22"/>
          <w:szCs w:val="22"/>
        </w:rPr>
        <w:t xml:space="preserve"> </w:t>
      </w:r>
    </w:p>
    <w:p w:rsidR="00C35B84" w:rsidRPr="00C35B84" w:rsidRDefault="00C35B84" w:rsidP="00C35B84">
      <w:pPr>
        <w:widowControl w:val="0"/>
        <w:rPr>
          <w:sz w:val="22"/>
          <w:szCs w:val="22"/>
        </w:rPr>
      </w:pPr>
    </w:p>
    <w:p w:rsidR="00DC2267" w:rsidRPr="00773814" w:rsidRDefault="00C35B84" w:rsidP="006E6DD5">
      <w:pPr>
        <w:widowControl w:val="0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There will be a</w:t>
      </w:r>
      <w:r w:rsidR="00DC2267" w:rsidRPr="00773814">
        <w:rPr>
          <w:sz w:val="22"/>
          <w:szCs w:val="22"/>
        </w:rPr>
        <w:t xml:space="preserve"> description of the </w:t>
      </w:r>
      <w:r w:rsidR="005D0B4F" w:rsidRPr="00773814">
        <w:rPr>
          <w:sz w:val="22"/>
          <w:szCs w:val="22"/>
        </w:rPr>
        <w:t xml:space="preserve">process to select </w:t>
      </w:r>
      <w:r w:rsidR="00DC2267" w:rsidRPr="00773814">
        <w:rPr>
          <w:sz w:val="22"/>
          <w:szCs w:val="22"/>
        </w:rPr>
        <w:t>mentor</w:t>
      </w:r>
      <w:r w:rsidR="005D0B4F" w:rsidRPr="00773814">
        <w:rPr>
          <w:sz w:val="22"/>
          <w:szCs w:val="22"/>
        </w:rPr>
        <w:t>s</w:t>
      </w:r>
      <w:r w:rsidR="00141F3B">
        <w:rPr>
          <w:sz w:val="22"/>
          <w:szCs w:val="22"/>
        </w:rPr>
        <w:t xml:space="preserve"> and </w:t>
      </w:r>
      <w:r w:rsidR="00DC2267" w:rsidRPr="00773814">
        <w:rPr>
          <w:sz w:val="22"/>
          <w:szCs w:val="22"/>
        </w:rPr>
        <w:t>a mechanism</w:t>
      </w:r>
      <w:r w:rsidR="005D0B4F" w:rsidRPr="00773814">
        <w:rPr>
          <w:sz w:val="22"/>
          <w:szCs w:val="22"/>
        </w:rPr>
        <w:t xml:space="preserve"> allow</w:t>
      </w:r>
      <w:r w:rsidR="00141F3B">
        <w:rPr>
          <w:sz w:val="22"/>
          <w:szCs w:val="22"/>
        </w:rPr>
        <w:t>ing</w:t>
      </w:r>
      <w:r w:rsidR="005D0B4F" w:rsidRPr="00773814">
        <w:rPr>
          <w:sz w:val="22"/>
          <w:szCs w:val="22"/>
        </w:rPr>
        <w:t xml:space="preserve"> for</w:t>
      </w:r>
      <w:r w:rsidR="00DC2267" w:rsidRPr="00773814">
        <w:rPr>
          <w:sz w:val="22"/>
          <w:szCs w:val="22"/>
        </w:rPr>
        <w:t xml:space="preserve"> changes in assignment of mentors as appropriate for the junior faculty</w:t>
      </w:r>
      <w:r w:rsidR="004E7CCE">
        <w:rPr>
          <w:sz w:val="22"/>
          <w:szCs w:val="22"/>
        </w:rPr>
        <w:t xml:space="preserve"> member</w:t>
      </w:r>
      <w:r w:rsidR="00DC2267" w:rsidRPr="00773814">
        <w:rPr>
          <w:sz w:val="22"/>
          <w:szCs w:val="22"/>
        </w:rPr>
        <w:t xml:space="preserve">’s needs, and an alternative provision for faculty members to choose not to have mentors. One or more senior faculty members (not the including the academic unit administrator) should be assigned </w:t>
      </w:r>
      <w:r w:rsidR="00143E1F">
        <w:rPr>
          <w:sz w:val="22"/>
          <w:szCs w:val="22"/>
        </w:rPr>
        <w:t>as mentors</w:t>
      </w:r>
      <w:r w:rsidR="00DC2267" w:rsidRPr="00773814">
        <w:rPr>
          <w:sz w:val="22"/>
          <w:szCs w:val="22"/>
        </w:rPr>
        <w:t>. Selection of mentors is not limited to the academic home of the junior faculty</w:t>
      </w:r>
      <w:r w:rsidR="004E7CCE">
        <w:rPr>
          <w:sz w:val="22"/>
          <w:szCs w:val="22"/>
        </w:rPr>
        <w:t xml:space="preserve"> member</w:t>
      </w:r>
      <w:r w:rsidR="00DC2267" w:rsidRPr="00773814">
        <w:rPr>
          <w:sz w:val="22"/>
          <w:szCs w:val="22"/>
        </w:rPr>
        <w:t>.</w:t>
      </w:r>
    </w:p>
    <w:p w:rsidR="00DC2267" w:rsidRPr="00773814" w:rsidRDefault="00141F3B" w:rsidP="006E6DD5">
      <w:pPr>
        <w:widowControl w:val="0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DC2267" w:rsidRPr="00773814">
        <w:rPr>
          <w:sz w:val="22"/>
          <w:szCs w:val="22"/>
        </w:rPr>
        <w:t>or faculty members with joint appointments</w:t>
      </w:r>
      <w:r w:rsidR="004F65A8">
        <w:rPr>
          <w:sz w:val="22"/>
          <w:szCs w:val="22"/>
        </w:rPr>
        <w:t>,</w:t>
      </w:r>
      <w:r w:rsidR="00DC2267" w:rsidRPr="00773814">
        <w:rPr>
          <w:sz w:val="22"/>
          <w:szCs w:val="22"/>
        </w:rPr>
        <w:t xml:space="preserve"> there </w:t>
      </w:r>
      <w:r w:rsidR="00C35B84">
        <w:rPr>
          <w:sz w:val="22"/>
          <w:szCs w:val="22"/>
        </w:rPr>
        <w:t xml:space="preserve">will </w:t>
      </w:r>
      <w:r w:rsidR="00DC2267" w:rsidRPr="00773814">
        <w:rPr>
          <w:sz w:val="22"/>
          <w:szCs w:val="22"/>
        </w:rPr>
        <w:t xml:space="preserve">be </w:t>
      </w:r>
      <w:r>
        <w:rPr>
          <w:sz w:val="22"/>
          <w:szCs w:val="22"/>
        </w:rPr>
        <w:t>a single</w:t>
      </w:r>
      <w:r w:rsidR="00DC2267" w:rsidRPr="00773814">
        <w:rPr>
          <w:sz w:val="22"/>
          <w:szCs w:val="22"/>
        </w:rPr>
        <w:t xml:space="preserve"> mentoring plan coordinated </w:t>
      </w:r>
      <w:r w:rsidR="004F65A8">
        <w:rPr>
          <w:sz w:val="22"/>
          <w:szCs w:val="22"/>
        </w:rPr>
        <w:t>across</w:t>
      </w:r>
      <w:r w:rsidR="00DC2267" w:rsidRPr="00773814">
        <w:rPr>
          <w:sz w:val="22"/>
          <w:szCs w:val="22"/>
        </w:rPr>
        <w:t xml:space="preserve"> units</w:t>
      </w:r>
      <w:r w:rsidR="004F65A8">
        <w:rPr>
          <w:sz w:val="22"/>
          <w:szCs w:val="22"/>
        </w:rPr>
        <w:t xml:space="preserve">—with </w:t>
      </w:r>
      <w:r w:rsidR="00DC2267" w:rsidRPr="00773814">
        <w:rPr>
          <w:sz w:val="22"/>
          <w:szCs w:val="22"/>
        </w:rPr>
        <w:t xml:space="preserve">leadership </w:t>
      </w:r>
      <w:r w:rsidR="004F65A8">
        <w:rPr>
          <w:sz w:val="22"/>
          <w:szCs w:val="22"/>
        </w:rPr>
        <w:t xml:space="preserve">provided by </w:t>
      </w:r>
      <w:r w:rsidR="00DC2267" w:rsidRPr="00773814">
        <w:rPr>
          <w:sz w:val="22"/>
          <w:szCs w:val="22"/>
        </w:rPr>
        <w:t xml:space="preserve">the </w:t>
      </w:r>
      <w:r w:rsidR="004F65A8">
        <w:rPr>
          <w:sz w:val="22"/>
          <w:szCs w:val="22"/>
        </w:rPr>
        <w:t>lead</w:t>
      </w:r>
      <w:r w:rsidR="00DC2267" w:rsidRPr="00773814">
        <w:rPr>
          <w:sz w:val="22"/>
          <w:szCs w:val="22"/>
        </w:rPr>
        <w:t xml:space="preserve"> unit.</w:t>
      </w:r>
    </w:p>
    <w:p w:rsidR="00DC2267" w:rsidRPr="00773814" w:rsidRDefault="00C35B84" w:rsidP="006E6DD5">
      <w:pPr>
        <w:widowControl w:val="0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There will be a</w:t>
      </w:r>
      <w:r w:rsidR="00DC2267" w:rsidRPr="00773814">
        <w:rPr>
          <w:sz w:val="22"/>
          <w:szCs w:val="22"/>
        </w:rPr>
        <w:t xml:space="preserve"> description of expected mentoring activities with elements addressing research, </w:t>
      </w:r>
      <w:r w:rsidR="00DC2267" w:rsidRPr="00773814">
        <w:rPr>
          <w:sz w:val="22"/>
          <w:szCs w:val="22"/>
        </w:rPr>
        <w:lastRenderedPageBreak/>
        <w:t xml:space="preserve">teaching, extension and outreach, </w:t>
      </w:r>
      <w:r w:rsidR="00B557D0" w:rsidRPr="00773814">
        <w:rPr>
          <w:sz w:val="22"/>
          <w:szCs w:val="22"/>
        </w:rPr>
        <w:t xml:space="preserve">engagement, </w:t>
      </w:r>
      <w:r w:rsidR="00DC2267" w:rsidRPr="00773814">
        <w:rPr>
          <w:sz w:val="22"/>
          <w:szCs w:val="22"/>
        </w:rPr>
        <w:t>and leadership development.</w:t>
      </w:r>
    </w:p>
    <w:p w:rsidR="00DC2267" w:rsidRPr="004F65A8" w:rsidRDefault="00C35B84" w:rsidP="006E6DD5">
      <w:pPr>
        <w:widowControl w:val="0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There will be c</w:t>
      </w:r>
      <w:r w:rsidR="00DC2267" w:rsidRPr="004F65A8">
        <w:rPr>
          <w:sz w:val="22"/>
          <w:szCs w:val="22"/>
        </w:rPr>
        <w:t xml:space="preserve">larity </w:t>
      </w:r>
      <w:r w:rsidR="004F65A8">
        <w:rPr>
          <w:sz w:val="22"/>
          <w:szCs w:val="22"/>
        </w:rPr>
        <w:t xml:space="preserve">regarding </w:t>
      </w:r>
      <w:r w:rsidR="00DC2267" w:rsidRPr="004F65A8">
        <w:rPr>
          <w:sz w:val="22"/>
          <w:szCs w:val="22"/>
        </w:rPr>
        <w:t>the roles of mentor(s) and the faculty</w:t>
      </w:r>
      <w:r w:rsidR="004F65A8">
        <w:rPr>
          <w:sz w:val="22"/>
          <w:szCs w:val="22"/>
        </w:rPr>
        <w:t xml:space="preserve"> member being mentored</w:t>
      </w:r>
      <w:r w:rsidR="004F65A8" w:rsidRPr="004F65A8">
        <w:rPr>
          <w:sz w:val="22"/>
          <w:szCs w:val="22"/>
        </w:rPr>
        <w:t xml:space="preserve">; </w:t>
      </w:r>
      <w:r w:rsidR="00DC2267" w:rsidRPr="004F65A8">
        <w:rPr>
          <w:sz w:val="22"/>
          <w:szCs w:val="22"/>
        </w:rPr>
        <w:t>expectations for confidentiality</w:t>
      </w:r>
      <w:r w:rsidR="004F65A8" w:rsidRPr="004F65A8">
        <w:rPr>
          <w:sz w:val="22"/>
          <w:szCs w:val="22"/>
        </w:rPr>
        <w:t xml:space="preserve">; </w:t>
      </w:r>
      <w:r w:rsidR="00DC2267" w:rsidRPr="004F65A8">
        <w:rPr>
          <w:sz w:val="22"/>
          <w:szCs w:val="22"/>
        </w:rPr>
        <w:t>the role of mentor(s)</w:t>
      </w:r>
      <w:r w:rsidR="00C6373B">
        <w:rPr>
          <w:sz w:val="22"/>
          <w:szCs w:val="22"/>
        </w:rPr>
        <w:t>, if any,</w:t>
      </w:r>
      <w:r w:rsidR="00DC2267" w:rsidRPr="004F65A8">
        <w:rPr>
          <w:sz w:val="22"/>
          <w:szCs w:val="22"/>
        </w:rPr>
        <w:t xml:space="preserve"> in the annual</w:t>
      </w:r>
      <w:r w:rsidR="00C6373B">
        <w:rPr>
          <w:sz w:val="22"/>
          <w:szCs w:val="22"/>
        </w:rPr>
        <w:t xml:space="preserve"> evaluation and</w:t>
      </w:r>
      <w:r w:rsidR="00DC2267" w:rsidRPr="004F65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RPT </w:t>
      </w:r>
      <w:r w:rsidR="00DC2267" w:rsidRPr="004F65A8">
        <w:rPr>
          <w:sz w:val="22"/>
          <w:szCs w:val="22"/>
        </w:rPr>
        <w:t>process</w:t>
      </w:r>
      <w:r w:rsidR="004F65A8">
        <w:rPr>
          <w:sz w:val="22"/>
          <w:szCs w:val="22"/>
        </w:rPr>
        <w:t>; and w</w:t>
      </w:r>
      <w:r w:rsidR="00DC2267" w:rsidRPr="004F65A8">
        <w:rPr>
          <w:sz w:val="22"/>
          <w:szCs w:val="22"/>
        </w:rPr>
        <w:t xml:space="preserve">ho (including the mentee) does/does not see </w:t>
      </w:r>
      <w:r w:rsidR="004F65A8">
        <w:rPr>
          <w:sz w:val="22"/>
          <w:szCs w:val="22"/>
        </w:rPr>
        <w:t xml:space="preserve">written mentoring </w:t>
      </w:r>
      <w:r w:rsidR="00DC2267" w:rsidRPr="004F65A8">
        <w:rPr>
          <w:sz w:val="22"/>
          <w:szCs w:val="22"/>
        </w:rPr>
        <w:t>reports</w:t>
      </w:r>
      <w:r w:rsidR="00C6373B">
        <w:rPr>
          <w:sz w:val="22"/>
          <w:szCs w:val="22"/>
        </w:rPr>
        <w:t>, if such reports are prepared</w:t>
      </w:r>
      <w:r w:rsidR="00DC2267" w:rsidRPr="004F65A8">
        <w:rPr>
          <w:sz w:val="22"/>
          <w:szCs w:val="22"/>
        </w:rPr>
        <w:t>.</w:t>
      </w:r>
    </w:p>
    <w:p w:rsidR="00DC2267" w:rsidRPr="00773814" w:rsidRDefault="00C35B84" w:rsidP="006E6DD5">
      <w:pPr>
        <w:widowControl w:val="0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There will be a</w:t>
      </w:r>
      <w:r w:rsidR="00DC2267" w:rsidRPr="00773814">
        <w:rPr>
          <w:sz w:val="22"/>
          <w:szCs w:val="22"/>
        </w:rPr>
        <w:t xml:space="preserve"> description of how mentoring activities will be reported and evaluated as a portion of an individual</w:t>
      </w:r>
      <w:r w:rsidR="004F65A8">
        <w:rPr>
          <w:sz w:val="22"/>
          <w:szCs w:val="22"/>
        </w:rPr>
        <w:t>’</w:t>
      </w:r>
      <w:r w:rsidR="00DC2267" w:rsidRPr="00773814">
        <w:rPr>
          <w:sz w:val="22"/>
          <w:szCs w:val="22"/>
        </w:rPr>
        <w:t xml:space="preserve">s service to the unit. </w:t>
      </w:r>
    </w:p>
    <w:p w:rsidR="00141F3B" w:rsidRDefault="00141F3B">
      <w:pPr>
        <w:widowControl w:val="0"/>
        <w:ind w:left="720" w:hanging="720"/>
        <w:rPr>
          <w:sz w:val="22"/>
          <w:szCs w:val="22"/>
        </w:rPr>
      </w:pPr>
    </w:p>
    <w:p w:rsidR="00141F3B" w:rsidRPr="006E6DD5" w:rsidRDefault="00C35B84" w:rsidP="006E6DD5">
      <w:pPr>
        <w:pStyle w:val="ListParagraph"/>
        <w:widowControl w:val="0"/>
        <w:numPr>
          <w:ilvl w:val="0"/>
          <w:numId w:val="16"/>
        </w:numPr>
        <w:rPr>
          <w:sz w:val="22"/>
          <w:szCs w:val="22"/>
        </w:rPr>
      </w:pPr>
      <w:r w:rsidRPr="006E6DD5">
        <w:rPr>
          <w:sz w:val="22"/>
          <w:szCs w:val="22"/>
        </w:rPr>
        <w:t>There will be s</w:t>
      </w:r>
      <w:r w:rsidR="00DC2267" w:rsidRPr="006E6DD5">
        <w:rPr>
          <w:sz w:val="22"/>
          <w:szCs w:val="22"/>
        </w:rPr>
        <w:t>upport and leadership from the chair</w:t>
      </w:r>
      <w:r w:rsidR="00141F3B" w:rsidRPr="006E6DD5">
        <w:rPr>
          <w:sz w:val="22"/>
          <w:szCs w:val="22"/>
        </w:rPr>
        <w:t>/director</w:t>
      </w:r>
      <w:r w:rsidR="00DC2267" w:rsidRPr="006E6DD5">
        <w:rPr>
          <w:sz w:val="22"/>
          <w:szCs w:val="22"/>
        </w:rPr>
        <w:t xml:space="preserve"> in integrating mentoring into departmental activities.  Recognition of mentoring as a formal component of faculty service to the department and college should be incorporated into annual faculty evaluations for individuals who serve as mentors.</w:t>
      </w:r>
      <w:r w:rsidR="00DC2267" w:rsidRPr="006E6DD5">
        <w:rPr>
          <w:sz w:val="22"/>
          <w:szCs w:val="22"/>
        </w:rPr>
        <w:tab/>
      </w:r>
    </w:p>
    <w:p w:rsidR="00DC2267" w:rsidRPr="006E6DD5" w:rsidRDefault="00C35B84" w:rsidP="006E6DD5">
      <w:pPr>
        <w:pStyle w:val="ListParagraph"/>
        <w:widowControl w:val="0"/>
        <w:numPr>
          <w:ilvl w:val="0"/>
          <w:numId w:val="16"/>
        </w:numPr>
        <w:ind w:left="360" w:firstLine="0"/>
        <w:rPr>
          <w:sz w:val="22"/>
          <w:szCs w:val="22"/>
        </w:rPr>
      </w:pPr>
      <w:r w:rsidRPr="006E6DD5">
        <w:rPr>
          <w:sz w:val="22"/>
          <w:szCs w:val="22"/>
        </w:rPr>
        <w:t>There will be s</w:t>
      </w:r>
      <w:r w:rsidR="00DC2267" w:rsidRPr="006E6DD5">
        <w:rPr>
          <w:sz w:val="22"/>
          <w:szCs w:val="22"/>
        </w:rPr>
        <w:t xml:space="preserve">ensitivity </w:t>
      </w:r>
      <w:r w:rsidR="006E6DD5">
        <w:rPr>
          <w:sz w:val="22"/>
          <w:szCs w:val="22"/>
        </w:rPr>
        <w:t xml:space="preserve">in the academic </w:t>
      </w:r>
      <w:r w:rsidR="00DC2267" w:rsidRPr="006E6DD5">
        <w:rPr>
          <w:sz w:val="22"/>
          <w:szCs w:val="22"/>
        </w:rPr>
        <w:t xml:space="preserve">units and mentors to potentially different challenges faced by </w:t>
      </w:r>
      <w:r w:rsidR="006E6DD5">
        <w:rPr>
          <w:sz w:val="22"/>
          <w:szCs w:val="22"/>
        </w:rPr>
        <w:tab/>
      </w:r>
      <w:r w:rsidR="00DC2267" w:rsidRPr="006E6DD5">
        <w:rPr>
          <w:sz w:val="22"/>
          <w:szCs w:val="22"/>
        </w:rPr>
        <w:t>diverse faculty.</w:t>
      </w:r>
    </w:p>
    <w:p w:rsidR="00DC2267" w:rsidRPr="00773814" w:rsidRDefault="00DC2267">
      <w:pPr>
        <w:widowControl w:val="0"/>
        <w:rPr>
          <w:sz w:val="22"/>
          <w:szCs w:val="22"/>
        </w:rPr>
      </w:pPr>
    </w:p>
    <w:p w:rsidR="00141F3B" w:rsidRPr="00141F3B" w:rsidRDefault="005E3675" w:rsidP="00141F3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College</w:t>
      </w:r>
      <w:r w:rsidR="00141F3B" w:rsidRPr="00141F3B">
        <w:rPr>
          <w:b/>
          <w:sz w:val="22"/>
          <w:szCs w:val="22"/>
        </w:rPr>
        <w:t xml:space="preserve"> Obligations</w:t>
      </w:r>
    </w:p>
    <w:p w:rsidR="00141F3B" w:rsidRDefault="00141F3B">
      <w:pPr>
        <w:widowControl w:val="0"/>
        <w:rPr>
          <w:sz w:val="22"/>
          <w:szCs w:val="22"/>
        </w:rPr>
      </w:pPr>
    </w:p>
    <w:p w:rsidR="00141F3B" w:rsidRPr="00773814" w:rsidRDefault="00141F3B" w:rsidP="00141F3B">
      <w:pPr>
        <w:widowControl w:val="0"/>
        <w:rPr>
          <w:sz w:val="22"/>
          <w:szCs w:val="22"/>
        </w:rPr>
      </w:pPr>
      <w:r w:rsidRPr="00773814">
        <w:rPr>
          <w:sz w:val="22"/>
          <w:szCs w:val="22"/>
        </w:rPr>
        <w:t xml:space="preserve">Support </w:t>
      </w:r>
      <w:r w:rsidR="00C35B84">
        <w:rPr>
          <w:sz w:val="22"/>
          <w:szCs w:val="22"/>
        </w:rPr>
        <w:t>for</w:t>
      </w:r>
      <w:r w:rsidRPr="00773814">
        <w:rPr>
          <w:sz w:val="22"/>
          <w:szCs w:val="22"/>
        </w:rPr>
        <w:t xml:space="preserve"> mentoring CANR faculty members will be provided under the </w:t>
      </w:r>
      <w:r w:rsidR="00C35B84">
        <w:rPr>
          <w:sz w:val="22"/>
          <w:szCs w:val="22"/>
        </w:rPr>
        <w:t xml:space="preserve">leadership and </w:t>
      </w:r>
      <w:r w:rsidRPr="00773814">
        <w:rPr>
          <w:sz w:val="22"/>
          <w:szCs w:val="22"/>
        </w:rPr>
        <w:t>direction of the CANR Director of Faculty Development</w:t>
      </w:r>
      <w:r w:rsidR="00765DC5">
        <w:rPr>
          <w:sz w:val="22"/>
          <w:szCs w:val="22"/>
        </w:rPr>
        <w:t xml:space="preserve"> (DFD)</w:t>
      </w:r>
      <w:r w:rsidRPr="00773814">
        <w:rPr>
          <w:sz w:val="22"/>
          <w:szCs w:val="22"/>
        </w:rPr>
        <w:t>, who will also be responsible for the development and regular review of the policy. The D</w:t>
      </w:r>
      <w:r w:rsidR="00765DC5">
        <w:rPr>
          <w:sz w:val="22"/>
          <w:szCs w:val="22"/>
        </w:rPr>
        <w:t>FD</w:t>
      </w:r>
      <w:r w:rsidRPr="00773814">
        <w:rPr>
          <w:sz w:val="22"/>
          <w:szCs w:val="22"/>
        </w:rPr>
        <w:t xml:space="preserve"> will also have responsibility for ensuring that all faculty </w:t>
      </w:r>
      <w:r>
        <w:rPr>
          <w:sz w:val="22"/>
          <w:szCs w:val="22"/>
        </w:rPr>
        <w:t xml:space="preserve">members </w:t>
      </w:r>
      <w:r w:rsidRPr="00773814">
        <w:rPr>
          <w:sz w:val="22"/>
          <w:szCs w:val="22"/>
        </w:rPr>
        <w:t xml:space="preserve">are informed about </w:t>
      </w:r>
      <w:r w:rsidR="00765DC5">
        <w:rPr>
          <w:sz w:val="22"/>
          <w:szCs w:val="22"/>
        </w:rPr>
        <w:t>f</w:t>
      </w:r>
      <w:r w:rsidRPr="00773814">
        <w:rPr>
          <w:sz w:val="22"/>
          <w:szCs w:val="22"/>
        </w:rPr>
        <w:t xml:space="preserve">aculty </w:t>
      </w:r>
      <w:r w:rsidR="00765DC5">
        <w:rPr>
          <w:sz w:val="22"/>
          <w:szCs w:val="22"/>
        </w:rPr>
        <w:t>d</w:t>
      </w:r>
      <w:r w:rsidRPr="00773814">
        <w:rPr>
          <w:sz w:val="22"/>
          <w:szCs w:val="22"/>
        </w:rPr>
        <w:t xml:space="preserve">evelopment </w:t>
      </w:r>
      <w:r w:rsidR="00765DC5">
        <w:rPr>
          <w:sz w:val="22"/>
          <w:szCs w:val="22"/>
        </w:rPr>
        <w:t>p</w:t>
      </w:r>
      <w:r w:rsidRPr="00773814">
        <w:rPr>
          <w:sz w:val="22"/>
          <w:szCs w:val="22"/>
        </w:rPr>
        <w:t>rograms in CANR and at MSU.</w:t>
      </w:r>
      <w:r>
        <w:rPr>
          <w:sz w:val="22"/>
          <w:szCs w:val="22"/>
        </w:rPr>
        <w:t xml:space="preserve"> This support will include:</w:t>
      </w:r>
    </w:p>
    <w:p w:rsidR="00141F3B" w:rsidRPr="00773814" w:rsidRDefault="00141F3B">
      <w:pPr>
        <w:widowControl w:val="0"/>
        <w:rPr>
          <w:sz w:val="22"/>
          <w:szCs w:val="22"/>
        </w:rPr>
      </w:pPr>
    </w:p>
    <w:p w:rsidR="00DC2267" w:rsidRPr="00773814" w:rsidRDefault="00DC2267" w:rsidP="00141F3B">
      <w:pPr>
        <w:widowControl w:val="0"/>
        <w:numPr>
          <w:ilvl w:val="0"/>
          <w:numId w:val="10"/>
        </w:numPr>
        <w:rPr>
          <w:sz w:val="22"/>
          <w:szCs w:val="22"/>
        </w:rPr>
      </w:pPr>
      <w:r w:rsidRPr="00773814">
        <w:rPr>
          <w:sz w:val="22"/>
          <w:szCs w:val="22"/>
        </w:rPr>
        <w:t>Provision of sources of information/link to available university resources concerning good mentoring practices</w:t>
      </w:r>
      <w:r w:rsidR="00484293">
        <w:rPr>
          <w:sz w:val="22"/>
          <w:szCs w:val="22"/>
        </w:rPr>
        <w:t xml:space="preserve"> and information about CANR unit policies</w:t>
      </w:r>
      <w:r w:rsidR="004368FF">
        <w:rPr>
          <w:sz w:val="22"/>
          <w:szCs w:val="22"/>
        </w:rPr>
        <w:t>;</w:t>
      </w:r>
      <w:r w:rsidRPr="00773814">
        <w:rPr>
          <w:sz w:val="22"/>
          <w:szCs w:val="22"/>
        </w:rPr>
        <w:t xml:space="preserve"> </w:t>
      </w:r>
    </w:p>
    <w:p w:rsidR="00DC2267" w:rsidRPr="00773814" w:rsidRDefault="00DC2267" w:rsidP="00141F3B">
      <w:pPr>
        <w:widowControl w:val="0"/>
        <w:numPr>
          <w:ilvl w:val="0"/>
          <w:numId w:val="10"/>
        </w:numPr>
        <w:rPr>
          <w:sz w:val="22"/>
          <w:szCs w:val="22"/>
        </w:rPr>
      </w:pPr>
      <w:r w:rsidRPr="00773814">
        <w:rPr>
          <w:sz w:val="22"/>
          <w:szCs w:val="22"/>
        </w:rPr>
        <w:t xml:space="preserve">Organization of workshops and </w:t>
      </w:r>
      <w:r w:rsidR="004368FF">
        <w:rPr>
          <w:sz w:val="22"/>
          <w:szCs w:val="22"/>
        </w:rPr>
        <w:t xml:space="preserve">faculty development </w:t>
      </w:r>
      <w:r w:rsidRPr="00773814">
        <w:rPr>
          <w:sz w:val="22"/>
          <w:szCs w:val="22"/>
        </w:rPr>
        <w:t xml:space="preserve">programs(either by the </w:t>
      </w:r>
      <w:r w:rsidR="004368FF">
        <w:rPr>
          <w:sz w:val="22"/>
          <w:szCs w:val="22"/>
        </w:rPr>
        <w:t>C</w:t>
      </w:r>
      <w:r w:rsidRPr="00773814">
        <w:rPr>
          <w:sz w:val="22"/>
          <w:szCs w:val="22"/>
        </w:rPr>
        <w:t xml:space="preserve">ollege or in conjunction with </w:t>
      </w:r>
      <w:r w:rsidR="004368FF">
        <w:rPr>
          <w:sz w:val="22"/>
          <w:szCs w:val="22"/>
        </w:rPr>
        <w:t>the u</w:t>
      </w:r>
      <w:r w:rsidRPr="00773814">
        <w:rPr>
          <w:sz w:val="22"/>
          <w:szCs w:val="22"/>
        </w:rPr>
        <w:t>niversity</w:t>
      </w:r>
      <w:r w:rsidR="004368FF">
        <w:rPr>
          <w:sz w:val="22"/>
          <w:szCs w:val="22"/>
        </w:rPr>
        <w:t xml:space="preserve">, through such units as </w:t>
      </w:r>
      <w:r w:rsidRPr="00773814">
        <w:rPr>
          <w:sz w:val="22"/>
          <w:szCs w:val="22"/>
        </w:rPr>
        <w:t>the Office of Faculty and Organizational Development)</w:t>
      </w:r>
      <w:r w:rsidR="004368FF">
        <w:rPr>
          <w:sz w:val="22"/>
          <w:szCs w:val="22"/>
        </w:rPr>
        <w:t>;</w:t>
      </w:r>
    </w:p>
    <w:p w:rsidR="00DC2267" w:rsidRPr="00773814" w:rsidRDefault="004368FF" w:rsidP="00141F3B">
      <w:pPr>
        <w:widowControl w:val="0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Assistance </w:t>
      </w:r>
      <w:r w:rsidR="00C35B84">
        <w:rPr>
          <w:sz w:val="22"/>
          <w:szCs w:val="22"/>
        </w:rPr>
        <w:t xml:space="preserve">for </w:t>
      </w:r>
      <w:r w:rsidR="001F6999" w:rsidRPr="00773814">
        <w:rPr>
          <w:sz w:val="22"/>
          <w:szCs w:val="22"/>
        </w:rPr>
        <w:t>unit</w:t>
      </w:r>
      <w:r w:rsidR="00C35B84">
        <w:rPr>
          <w:sz w:val="22"/>
          <w:szCs w:val="22"/>
        </w:rPr>
        <w:t>s</w:t>
      </w:r>
      <w:r w:rsidR="001F6999" w:rsidRPr="007738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(through the </w:t>
      </w:r>
      <w:r w:rsidR="00C35B84">
        <w:rPr>
          <w:sz w:val="22"/>
          <w:szCs w:val="22"/>
        </w:rPr>
        <w:t xml:space="preserve">respective </w:t>
      </w:r>
      <w:r>
        <w:rPr>
          <w:sz w:val="22"/>
          <w:szCs w:val="22"/>
        </w:rPr>
        <w:t xml:space="preserve">chair’s or director’s office) to create </w:t>
      </w:r>
      <w:r w:rsidR="001F6999" w:rsidRPr="00773814">
        <w:rPr>
          <w:sz w:val="22"/>
          <w:szCs w:val="22"/>
        </w:rPr>
        <w:t>and maintain</w:t>
      </w:r>
      <w:r w:rsidR="00DC2267" w:rsidRPr="00773814">
        <w:rPr>
          <w:sz w:val="22"/>
          <w:szCs w:val="22"/>
        </w:rPr>
        <w:t xml:space="preserve"> a central </w:t>
      </w:r>
      <w:r w:rsidR="001F6999" w:rsidRPr="00773814">
        <w:rPr>
          <w:sz w:val="22"/>
          <w:szCs w:val="22"/>
        </w:rPr>
        <w:t>repository</w:t>
      </w:r>
      <w:r w:rsidR="00DC2267" w:rsidRPr="00773814">
        <w:rPr>
          <w:sz w:val="22"/>
          <w:szCs w:val="22"/>
        </w:rPr>
        <w:t xml:space="preserve"> for information about mentoring policies</w:t>
      </w:r>
      <w:r>
        <w:rPr>
          <w:sz w:val="22"/>
          <w:szCs w:val="22"/>
        </w:rPr>
        <w:t>; and</w:t>
      </w:r>
    </w:p>
    <w:p w:rsidR="00DC2267" w:rsidRPr="00773814" w:rsidRDefault="00DC2267" w:rsidP="00141F3B">
      <w:pPr>
        <w:widowControl w:val="0"/>
        <w:numPr>
          <w:ilvl w:val="0"/>
          <w:numId w:val="10"/>
        </w:numPr>
        <w:rPr>
          <w:sz w:val="22"/>
          <w:szCs w:val="22"/>
        </w:rPr>
      </w:pPr>
      <w:r w:rsidRPr="00773814">
        <w:rPr>
          <w:sz w:val="22"/>
          <w:szCs w:val="22"/>
        </w:rPr>
        <w:t>Provision of information to prepare new faculty (e.g., resources, expectations) as part of annual college orientation</w:t>
      </w:r>
      <w:r w:rsidR="004368FF">
        <w:rPr>
          <w:sz w:val="22"/>
          <w:szCs w:val="22"/>
        </w:rPr>
        <w:t>;</w:t>
      </w:r>
    </w:p>
    <w:p w:rsidR="004368FF" w:rsidRDefault="004368FF" w:rsidP="004368FF">
      <w:pPr>
        <w:widowControl w:val="0"/>
        <w:ind w:left="360" w:right="720"/>
        <w:rPr>
          <w:sz w:val="22"/>
          <w:szCs w:val="22"/>
        </w:rPr>
      </w:pPr>
    </w:p>
    <w:p w:rsidR="00DC2267" w:rsidRPr="00773814" w:rsidRDefault="00C344B0" w:rsidP="004368FF">
      <w:pPr>
        <w:widowControl w:val="0"/>
        <w:rPr>
          <w:sz w:val="22"/>
          <w:szCs w:val="22"/>
        </w:rPr>
      </w:pPr>
      <w:r w:rsidRPr="00773814">
        <w:rPr>
          <w:sz w:val="22"/>
          <w:szCs w:val="22"/>
        </w:rPr>
        <w:t>The D</w:t>
      </w:r>
      <w:r w:rsidR="00765DC5">
        <w:rPr>
          <w:sz w:val="22"/>
          <w:szCs w:val="22"/>
        </w:rPr>
        <w:t>FD</w:t>
      </w:r>
      <w:r w:rsidRPr="00773814">
        <w:rPr>
          <w:sz w:val="22"/>
          <w:szCs w:val="22"/>
        </w:rPr>
        <w:t xml:space="preserve"> </w:t>
      </w:r>
      <w:r w:rsidR="00765DC5">
        <w:rPr>
          <w:sz w:val="22"/>
          <w:szCs w:val="22"/>
        </w:rPr>
        <w:t>will</w:t>
      </w:r>
      <w:r w:rsidRPr="00773814">
        <w:rPr>
          <w:sz w:val="22"/>
          <w:szCs w:val="22"/>
        </w:rPr>
        <w:t xml:space="preserve"> </w:t>
      </w:r>
      <w:r w:rsidR="004368FF">
        <w:rPr>
          <w:sz w:val="22"/>
          <w:szCs w:val="22"/>
        </w:rPr>
        <w:t xml:space="preserve">also </w:t>
      </w:r>
      <w:r w:rsidRPr="00773814">
        <w:rPr>
          <w:sz w:val="22"/>
          <w:szCs w:val="22"/>
        </w:rPr>
        <w:t xml:space="preserve">serve as </w:t>
      </w:r>
      <w:r w:rsidR="00DC2267" w:rsidRPr="00773814">
        <w:rPr>
          <w:sz w:val="22"/>
          <w:szCs w:val="22"/>
        </w:rPr>
        <w:t xml:space="preserve">a confidential </w:t>
      </w:r>
      <w:r w:rsidR="00C35B84">
        <w:rPr>
          <w:sz w:val="22"/>
          <w:szCs w:val="22"/>
        </w:rPr>
        <w:t>source</w:t>
      </w:r>
      <w:r w:rsidR="00DC2267" w:rsidRPr="00773814">
        <w:rPr>
          <w:sz w:val="22"/>
          <w:szCs w:val="22"/>
        </w:rPr>
        <w:t xml:space="preserve"> available to all CANR faculty</w:t>
      </w:r>
      <w:r w:rsidR="005E3675">
        <w:rPr>
          <w:sz w:val="22"/>
          <w:szCs w:val="22"/>
        </w:rPr>
        <w:t xml:space="preserve"> members </w:t>
      </w:r>
      <w:r w:rsidR="004368FF">
        <w:rPr>
          <w:sz w:val="22"/>
          <w:szCs w:val="22"/>
        </w:rPr>
        <w:t xml:space="preserve">—to </w:t>
      </w:r>
      <w:r w:rsidR="00DC2267" w:rsidRPr="00773814">
        <w:rPr>
          <w:sz w:val="22"/>
          <w:szCs w:val="22"/>
        </w:rPr>
        <w:t xml:space="preserve">serve as a resource </w:t>
      </w:r>
      <w:r w:rsidR="004368FF">
        <w:rPr>
          <w:sz w:val="22"/>
          <w:szCs w:val="22"/>
        </w:rPr>
        <w:t>(</w:t>
      </w:r>
      <w:r w:rsidR="005E3675">
        <w:rPr>
          <w:sz w:val="22"/>
          <w:szCs w:val="22"/>
        </w:rPr>
        <w:t>by</w:t>
      </w:r>
      <w:r w:rsidR="00DC2267" w:rsidRPr="00773814">
        <w:rPr>
          <w:sz w:val="22"/>
          <w:szCs w:val="22"/>
        </w:rPr>
        <w:t xml:space="preserve"> identify</w:t>
      </w:r>
      <w:r w:rsidR="005E3675">
        <w:rPr>
          <w:sz w:val="22"/>
          <w:szCs w:val="22"/>
        </w:rPr>
        <w:t>ing</w:t>
      </w:r>
      <w:r w:rsidR="00DC2267" w:rsidRPr="00773814">
        <w:rPr>
          <w:sz w:val="22"/>
          <w:szCs w:val="22"/>
        </w:rPr>
        <w:t xml:space="preserve"> appropriate individuals with relevant expertise for advice/consultation for professional development</w:t>
      </w:r>
      <w:r w:rsidR="00C35B84">
        <w:rPr>
          <w:sz w:val="22"/>
          <w:szCs w:val="22"/>
        </w:rPr>
        <w:t>)</w:t>
      </w:r>
      <w:r w:rsidR="00DC2267" w:rsidRPr="00773814">
        <w:rPr>
          <w:sz w:val="22"/>
          <w:szCs w:val="22"/>
        </w:rPr>
        <w:t xml:space="preserve"> and/or </w:t>
      </w:r>
      <w:r w:rsidR="005E3675">
        <w:rPr>
          <w:sz w:val="22"/>
          <w:szCs w:val="22"/>
        </w:rPr>
        <w:t>by</w:t>
      </w:r>
      <w:r w:rsidR="004368FF">
        <w:rPr>
          <w:sz w:val="22"/>
          <w:szCs w:val="22"/>
        </w:rPr>
        <w:t xml:space="preserve"> </w:t>
      </w:r>
      <w:r w:rsidR="00DC2267" w:rsidRPr="00773814">
        <w:rPr>
          <w:sz w:val="22"/>
          <w:szCs w:val="22"/>
        </w:rPr>
        <w:t>discuss</w:t>
      </w:r>
      <w:r w:rsidR="005E3675">
        <w:rPr>
          <w:sz w:val="22"/>
          <w:szCs w:val="22"/>
        </w:rPr>
        <w:t>ing</w:t>
      </w:r>
      <w:r w:rsidR="00DC2267" w:rsidRPr="00773814">
        <w:rPr>
          <w:sz w:val="22"/>
          <w:szCs w:val="22"/>
        </w:rPr>
        <w:t xml:space="preserve"> sensitive issues</w:t>
      </w:r>
      <w:r w:rsidR="004368FF">
        <w:rPr>
          <w:sz w:val="22"/>
          <w:szCs w:val="22"/>
        </w:rPr>
        <w:t xml:space="preserve"> with CANR faculty members</w:t>
      </w:r>
      <w:r w:rsidR="005E3675">
        <w:rPr>
          <w:sz w:val="22"/>
          <w:szCs w:val="22"/>
        </w:rPr>
        <w:t xml:space="preserve"> a</w:t>
      </w:r>
      <w:r w:rsidR="004F65A8">
        <w:rPr>
          <w:sz w:val="22"/>
          <w:szCs w:val="22"/>
        </w:rPr>
        <w:t>t</w:t>
      </w:r>
      <w:r w:rsidR="005E3675">
        <w:rPr>
          <w:sz w:val="22"/>
          <w:szCs w:val="22"/>
        </w:rPr>
        <w:t xml:space="preserve"> </w:t>
      </w:r>
      <w:r w:rsidR="004F65A8">
        <w:rPr>
          <w:sz w:val="22"/>
          <w:szCs w:val="22"/>
        </w:rPr>
        <w:t xml:space="preserve">the </w:t>
      </w:r>
      <w:r w:rsidR="005E3675">
        <w:rPr>
          <w:sz w:val="22"/>
          <w:szCs w:val="22"/>
        </w:rPr>
        <w:t>faculty members’ invitation</w:t>
      </w:r>
      <w:r w:rsidR="00DC2267" w:rsidRPr="00773814">
        <w:rPr>
          <w:sz w:val="22"/>
          <w:szCs w:val="22"/>
        </w:rPr>
        <w:t>.</w:t>
      </w:r>
      <w:r w:rsidRPr="00773814">
        <w:rPr>
          <w:sz w:val="22"/>
          <w:szCs w:val="22"/>
        </w:rPr>
        <w:t xml:space="preserve">  </w:t>
      </w:r>
    </w:p>
    <w:p w:rsidR="00DC2267" w:rsidRPr="00773814" w:rsidRDefault="00DC2267">
      <w:pPr>
        <w:widowControl w:val="0"/>
        <w:rPr>
          <w:sz w:val="22"/>
          <w:szCs w:val="22"/>
        </w:rPr>
      </w:pPr>
    </w:p>
    <w:p w:rsidR="00C35B84" w:rsidRPr="00C35B84" w:rsidRDefault="00C35B84" w:rsidP="00C35B84">
      <w:pPr>
        <w:widowControl w:val="0"/>
        <w:jc w:val="center"/>
        <w:rPr>
          <w:b/>
          <w:sz w:val="22"/>
          <w:szCs w:val="22"/>
        </w:rPr>
      </w:pPr>
      <w:r w:rsidRPr="00C35B84">
        <w:rPr>
          <w:b/>
          <w:sz w:val="22"/>
          <w:szCs w:val="22"/>
        </w:rPr>
        <w:t>Review and Evaluation</w:t>
      </w:r>
    </w:p>
    <w:p w:rsidR="00C35B84" w:rsidRDefault="00C35B84">
      <w:pPr>
        <w:widowControl w:val="0"/>
        <w:rPr>
          <w:sz w:val="22"/>
          <w:szCs w:val="22"/>
        </w:rPr>
      </w:pPr>
    </w:p>
    <w:p w:rsidR="00DC2267" w:rsidRPr="00773814" w:rsidRDefault="00DC2267">
      <w:pPr>
        <w:widowControl w:val="0"/>
        <w:rPr>
          <w:sz w:val="22"/>
          <w:szCs w:val="22"/>
        </w:rPr>
      </w:pPr>
      <w:r w:rsidRPr="00773814">
        <w:rPr>
          <w:sz w:val="22"/>
          <w:szCs w:val="22"/>
        </w:rPr>
        <w:t xml:space="preserve">The effectiveness of the college and unit mentoring programs will be assessed at an interval not to exceed </w:t>
      </w:r>
      <w:r w:rsidR="004368FF">
        <w:rPr>
          <w:sz w:val="22"/>
          <w:szCs w:val="22"/>
        </w:rPr>
        <w:t>5</w:t>
      </w:r>
      <w:r w:rsidRPr="00773814">
        <w:rPr>
          <w:sz w:val="22"/>
          <w:szCs w:val="22"/>
        </w:rPr>
        <w:t xml:space="preserve"> years.</w:t>
      </w:r>
    </w:p>
    <w:sectPr w:rsidR="00DC2267" w:rsidRPr="00773814" w:rsidSect="00141F3B">
      <w:pgSz w:w="12240" w:h="15840"/>
      <w:pgMar w:top="1440" w:right="81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A9" w:rsidRDefault="002A18A9" w:rsidP="00555045">
      <w:r>
        <w:separator/>
      </w:r>
    </w:p>
  </w:endnote>
  <w:endnote w:type="continuationSeparator" w:id="0">
    <w:p w:rsidR="002A18A9" w:rsidRDefault="002A18A9" w:rsidP="0055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A9" w:rsidRDefault="002A18A9" w:rsidP="00555045">
      <w:r>
        <w:separator/>
      </w:r>
    </w:p>
  </w:footnote>
  <w:footnote w:type="continuationSeparator" w:id="0">
    <w:p w:rsidR="002A18A9" w:rsidRDefault="002A18A9" w:rsidP="0055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1A6"/>
    <w:multiLevelType w:val="hybridMultilevel"/>
    <w:tmpl w:val="D45E9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B3912"/>
    <w:multiLevelType w:val="hybridMultilevel"/>
    <w:tmpl w:val="6B9C9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F358B"/>
    <w:multiLevelType w:val="hybridMultilevel"/>
    <w:tmpl w:val="AF5E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8F6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0A0A"/>
    <w:multiLevelType w:val="hybridMultilevel"/>
    <w:tmpl w:val="A4A2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58BE"/>
    <w:multiLevelType w:val="hybridMultilevel"/>
    <w:tmpl w:val="7780CA0C"/>
    <w:lvl w:ilvl="0" w:tplc="5F2C7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37F3C"/>
    <w:multiLevelType w:val="hybridMultilevel"/>
    <w:tmpl w:val="FF6C9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A18A7"/>
    <w:multiLevelType w:val="hybridMultilevel"/>
    <w:tmpl w:val="D6E6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F4897"/>
    <w:multiLevelType w:val="hybridMultilevel"/>
    <w:tmpl w:val="236A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A6248"/>
    <w:multiLevelType w:val="hybridMultilevel"/>
    <w:tmpl w:val="3EC8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A280F"/>
    <w:multiLevelType w:val="hybridMultilevel"/>
    <w:tmpl w:val="105856C2"/>
    <w:lvl w:ilvl="0" w:tplc="5F2C7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D3395"/>
    <w:multiLevelType w:val="hybridMultilevel"/>
    <w:tmpl w:val="4CD6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907FA"/>
    <w:multiLevelType w:val="hybridMultilevel"/>
    <w:tmpl w:val="5D4EE45A"/>
    <w:lvl w:ilvl="0" w:tplc="5F2C7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F0CD6"/>
    <w:multiLevelType w:val="hybridMultilevel"/>
    <w:tmpl w:val="243A0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427A0"/>
    <w:multiLevelType w:val="hybridMultilevel"/>
    <w:tmpl w:val="CF822EA8"/>
    <w:lvl w:ilvl="0" w:tplc="5F2C7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26358"/>
    <w:multiLevelType w:val="hybridMultilevel"/>
    <w:tmpl w:val="E3327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81B5E"/>
    <w:multiLevelType w:val="hybridMultilevel"/>
    <w:tmpl w:val="051C5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0"/>
    <w:rsid w:val="000B3824"/>
    <w:rsid w:val="000F0230"/>
    <w:rsid w:val="001050AF"/>
    <w:rsid w:val="00141F3B"/>
    <w:rsid w:val="00143E1F"/>
    <w:rsid w:val="00187979"/>
    <w:rsid w:val="001F6999"/>
    <w:rsid w:val="002A18A9"/>
    <w:rsid w:val="0034367D"/>
    <w:rsid w:val="00410BAA"/>
    <w:rsid w:val="004368FF"/>
    <w:rsid w:val="00484293"/>
    <w:rsid w:val="00487470"/>
    <w:rsid w:val="004E7CCE"/>
    <w:rsid w:val="004F65A8"/>
    <w:rsid w:val="00555045"/>
    <w:rsid w:val="005C20AA"/>
    <w:rsid w:val="005D0B4F"/>
    <w:rsid w:val="005E3675"/>
    <w:rsid w:val="006817C7"/>
    <w:rsid w:val="006D0590"/>
    <w:rsid w:val="006E6DD5"/>
    <w:rsid w:val="00765DC5"/>
    <w:rsid w:val="0076623F"/>
    <w:rsid w:val="00773814"/>
    <w:rsid w:val="007827E0"/>
    <w:rsid w:val="0083178A"/>
    <w:rsid w:val="008C7DA4"/>
    <w:rsid w:val="008E0CED"/>
    <w:rsid w:val="0099257D"/>
    <w:rsid w:val="009B17F5"/>
    <w:rsid w:val="009B6BD0"/>
    <w:rsid w:val="009C2E65"/>
    <w:rsid w:val="009C6553"/>
    <w:rsid w:val="009C6BCE"/>
    <w:rsid w:val="009D2739"/>
    <w:rsid w:val="00A24667"/>
    <w:rsid w:val="00AF3C32"/>
    <w:rsid w:val="00B00602"/>
    <w:rsid w:val="00B557D0"/>
    <w:rsid w:val="00BE139E"/>
    <w:rsid w:val="00C157C5"/>
    <w:rsid w:val="00C339C7"/>
    <w:rsid w:val="00C344B0"/>
    <w:rsid w:val="00C35B84"/>
    <w:rsid w:val="00C6373B"/>
    <w:rsid w:val="00D62B8F"/>
    <w:rsid w:val="00DB2A86"/>
    <w:rsid w:val="00DC2267"/>
    <w:rsid w:val="00DC4A62"/>
    <w:rsid w:val="00E1443C"/>
    <w:rsid w:val="00E358FD"/>
    <w:rsid w:val="00E7353B"/>
    <w:rsid w:val="00F34C99"/>
    <w:rsid w:val="00F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6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34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4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4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4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44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4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44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45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045"/>
    <w:rPr>
      <w:sz w:val="24"/>
    </w:rPr>
  </w:style>
  <w:style w:type="paragraph" w:styleId="ListParagraph">
    <w:name w:val="List Paragraph"/>
    <w:basedOn w:val="Normal"/>
    <w:uiPriority w:val="34"/>
    <w:qFormat/>
    <w:rsid w:val="00C35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6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34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4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4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4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44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4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44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45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045"/>
    <w:rPr>
      <w:sz w:val="24"/>
    </w:rPr>
  </w:style>
  <w:style w:type="paragraph" w:styleId="ListParagraph">
    <w:name w:val="List Paragraph"/>
    <w:basedOn w:val="Normal"/>
    <w:uiPriority w:val="34"/>
    <w:qFormat/>
    <w:rsid w:val="00C3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Buhler, Douglas</dc:creator>
  <cp:lastModifiedBy>IPMstudent</cp:lastModifiedBy>
  <cp:revision>2</cp:revision>
  <cp:lastPrinted>2011-06-13T16:23:00Z</cp:lastPrinted>
  <dcterms:created xsi:type="dcterms:W3CDTF">2013-04-26T17:35:00Z</dcterms:created>
  <dcterms:modified xsi:type="dcterms:W3CDTF">2013-04-26T17:35:00Z</dcterms:modified>
</cp:coreProperties>
</file>