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E" w:rsidRDefault="009D6300">
      <w:r w:rsidRPr="008C0EEB">
        <w:rPr>
          <w:noProof/>
        </w:rPr>
        <w:drawing>
          <wp:inline distT="0" distB="0" distL="0" distR="0" wp14:anchorId="7509C064" wp14:editId="1226ABAD">
            <wp:extent cx="381000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00" w:rsidRDefault="009D6300" w:rsidP="0084617B">
      <w:pPr>
        <w:spacing w:after="0" w:line="240" w:lineRule="auto"/>
      </w:pPr>
    </w:p>
    <w:p w:rsidR="009D6300" w:rsidRPr="0084617B" w:rsidRDefault="0084617B" w:rsidP="0084617B">
      <w:pPr>
        <w:spacing w:after="0" w:line="240" w:lineRule="auto"/>
        <w:jc w:val="center"/>
        <w:rPr>
          <w:sz w:val="28"/>
          <w:szCs w:val="28"/>
        </w:rPr>
      </w:pPr>
      <w:r w:rsidRPr="0084617B">
        <w:rPr>
          <w:sz w:val="28"/>
          <w:szCs w:val="28"/>
        </w:rPr>
        <w:t>First Tuesday CANR Business Manager’s Meeting</w:t>
      </w:r>
    </w:p>
    <w:p w:rsidR="009D6300" w:rsidRDefault="0084617B" w:rsidP="00B55D0A">
      <w:pPr>
        <w:spacing w:after="0" w:line="240" w:lineRule="auto"/>
        <w:jc w:val="center"/>
        <w:rPr>
          <w:sz w:val="28"/>
          <w:szCs w:val="28"/>
        </w:rPr>
      </w:pPr>
      <w:r w:rsidRPr="0084617B">
        <w:rPr>
          <w:sz w:val="28"/>
          <w:szCs w:val="28"/>
        </w:rPr>
        <w:t xml:space="preserve">Summary – November </w:t>
      </w:r>
      <w:r w:rsidR="00B55D0A">
        <w:rPr>
          <w:sz w:val="28"/>
          <w:szCs w:val="28"/>
        </w:rPr>
        <w:t>4, 2014</w:t>
      </w:r>
    </w:p>
    <w:p w:rsidR="00B55D0A" w:rsidRPr="00B55D0A" w:rsidRDefault="00B55D0A" w:rsidP="00B55D0A">
      <w:pPr>
        <w:spacing w:after="0" w:line="240" w:lineRule="auto"/>
        <w:rPr>
          <w:sz w:val="28"/>
          <w:szCs w:val="28"/>
        </w:rPr>
      </w:pPr>
    </w:p>
    <w:p w:rsidR="009C428E" w:rsidRPr="00726A1C" w:rsidRDefault="009C428E" w:rsidP="009C42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 xml:space="preserve">Unemployment Compensation Overview -- </w:t>
      </w:r>
      <w:r w:rsidR="00B55D0A" w:rsidRPr="00726A1C">
        <w:rPr>
          <w:sz w:val="20"/>
          <w:szCs w:val="20"/>
        </w:rPr>
        <w:t>Judy McManaman, Unemployment Compensation Coordinator in Human Resources and Amy Holda, Employee Relations Professional</w:t>
      </w:r>
      <w:r w:rsidRPr="00726A1C">
        <w:rPr>
          <w:sz w:val="20"/>
          <w:szCs w:val="20"/>
        </w:rPr>
        <w:t>,</w:t>
      </w:r>
      <w:r w:rsidR="00B55D0A" w:rsidRPr="00726A1C">
        <w:rPr>
          <w:sz w:val="20"/>
          <w:szCs w:val="20"/>
        </w:rPr>
        <w:t xml:space="preserve"> presented on unemployment compensation. What constitutes eligibility and the process for claiming unemployment</w:t>
      </w:r>
      <w:r w:rsidR="006647D7" w:rsidRPr="00726A1C">
        <w:rPr>
          <w:sz w:val="20"/>
          <w:szCs w:val="20"/>
        </w:rPr>
        <w:t xml:space="preserve"> </w:t>
      </w:r>
      <w:proofErr w:type="gramStart"/>
      <w:r w:rsidR="00B55D0A" w:rsidRPr="00726A1C">
        <w:rPr>
          <w:sz w:val="20"/>
          <w:szCs w:val="20"/>
        </w:rPr>
        <w:t>benefits.</w:t>
      </w:r>
      <w:proofErr w:type="gramEnd"/>
      <w:r w:rsidR="00E70014" w:rsidRPr="00726A1C">
        <w:rPr>
          <w:sz w:val="20"/>
          <w:szCs w:val="20"/>
        </w:rPr>
        <w:t xml:space="preserve">  Attached are the handouts from their discussion.</w:t>
      </w:r>
    </w:p>
    <w:p w:rsidR="009C428E" w:rsidRPr="00726A1C" w:rsidRDefault="009C428E" w:rsidP="009C42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 xml:space="preserve">Worker’s Compensation Overview -- </w:t>
      </w:r>
      <w:r w:rsidR="00B55D0A" w:rsidRPr="00726A1C">
        <w:rPr>
          <w:sz w:val="20"/>
          <w:szCs w:val="20"/>
        </w:rPr>
        <w:t>Rosemary Huguelet, Senior HR Professional</w:t>
      </w:r>
      <w:r w:rsidRPr="00726A1C">
        <w:rPr>
          <w:sz w:val="20"/>
          <w:szCs w:val="20"/>
        </w:rPr>
        <w:t>, presented on Worker’s Compensation. Proper procedures that should be followed when a work-related injury or illness occurs.</w:t>
      </w:r>
      <w:r w:rsidR="006647D7" w:rsidRPr="00726A1C">
        <w:rPr>
          <w:sz w:val="20"/>
          <w:szCs w:val="20"/>
        </w:rPr>
        <w:t xml:space="preserve"> See attached presen</w:t>
      </w:r>
      <w:r w:rsidR="00E70014" w:rsidRPr="00726A1C">
        <w:rPr>
          <w:sz w:val="20"/>
          <w:szCs w:val="20"/>
        </w:rPr>
        <w:t>tation.</w:t>
      </w:r>
    </w:p>
    <w:p w:rsidR="009C428E" w:rsidRPr="00726A1C" w:rsidRDefault="009C428E" w:rsidP="009C42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Family Medical Leave Act (FMLA) Overview -- Beth Tominski and Sheila Chorey, FMLA Specialists, presented on the Family Medical Leave Act. Definition of FMLA, eligibility guidelines, and proper procedure for applying.</w:t>
      </w:r>
      <w:r w:rsidR="00E70014" w:rsidRPr="00726A1C">
        <w:rPr>
          <w:sz w:val="20"/>
          <w:szCs w:val="20"/>
        </w:rPr>
        <w:t xml:space="preserve">  See attached presentation.</w:t>
      </w:r>
    </w:p>
    <w:p w:rsidR="009C428E" w:rsidRPr="00726A1C" w:rsidRDefault="009C428E" w:rsidP="009C42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Affordable Care Act</w:t>
      </w:r>
    </w:p>
    <w:p w:rsidR="009C428E" w:rsidRPr="00726A1C" w:rsidRDefault="009C428E" w:rsidP="009C42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Departmental ACA Time Reports were distributed, highlighting those individuals that will be eligible for healthcare on January 1, 2015.</w:t>
      </w:r>
    </w:p>
    <w:p w:rsidR="009C428E" w:rsidRPr="00726A1C" w:rsidRDefault="009C428E" w:rsidP="009C42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 xml:space="preserve">Recommended to please review reports carefully and follow up </w:t>
      </w:r>
      <w:r w:rsidR="00383089" w:rsidRPr="00726A1C">
        <w:rPr>
          <w:sz w:val="20"/>
          <w:szCs w:val="20"/>
        </w:rPr>
        <w:t xml:space="preserve">accordingly </w:t>
      </w:r>
      <w:r w:rsidRPr="00726A1C">
        <w:rPr>
          <w:sz w:val="20"/>
          <w:szCs w:val="20"/>
        </w:rPr>
        <w:t>if people are on report who should</w:t>
      </w:r>
      <w:r w:rsidR="00383089" w:rsidRPr="00726A1C">
        <w:rPr>
          <w:sz w:val="20"/>
          <w:szCs w:val="20"/>
        </w:rPr>
        <w:t xml:space="preserve"> </w:t>
      </w:r>
      <w:r w:rsidRPr="00726A1C">
        <w:rPr>
          <w:sz w:val="20"/>
          <w:szCs w:val="20"/>
        </w:rPr>
        <w:t>n</w:t>
      </w:r>
      <w:r w:rsidR="00383089" w:rsidRPr="00726A1C">
        <w:rPr>
          <w:sz w:val="20"/>
          <w:szCs w:val="20"/>
        </w:rPr>
        <w:t>ot</w:t>
      </w:r>
      <w:r w:rsidRPr="00726A1C">
        <w:rPr>
          <w:sz w:val="20"/>
          <w:szCs w:val="20"/>
        </w:rPr>
        <w:t xml:space="preserve"> (perhaps terminations need to be done).</w:t>
      </w:r>
    </w:p>
    <w:p w:rsidR="009C428E" w:rsidRPr="00726A1C" w:rsidRDefault="009C428E" w:rsidP="009C42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December 2014 First Tuesday meeting will focus on Affordable Care Act and implications.</w:t>
      </w:r>
    </w:p>
    <w:p w:rsidR="00E70014" w:rsidRPr="00726A1C" w:rsidRDefault="00383089" w:rsidP="009C428E">
      <w:pPr>
        <w:pStyle w:val="ListParagraph"/>
        <w:numPr>
          <w:ilvl w:val="1"/>
          <w:numId w:val="1"/>
        </w:numPr>
        <w:rPr>
          <w:b/>
          <w:color w:val="7030A0"/>
          <w:sz w:val="20"/>
          <w:szCs w:val="20"/>
        </w:rPr>
      </w:pPr>
      <w:r w:rsidRPr="00726A1C">
        <w:rPr>
          <w:b/>
          <w:color w:val="7030A0"/>
          <w:sz w:val="20"/>
          <w:szCs w:val="20"/>
        </w:rPr>
        <w:t>All units should plan on attending ACA Training</w:t>
      </w:r>
      <w:r w:rsidR="00E70014" w:rsidRPr="00726A1C">
        <w:rPr>
          <w:b/>
          <w:color w:val="7030A0"/>
          <w:sz w:val="20"/>
          <w:szCs w:val="20"/>
        </w:rPr>
        <w:t xml:space="preserve"> as scenarios for eligibility and charging will be presented:</w:t>
      </w:r>
    </w:p>
    <w:p w:rsidR="00E70014" w:rsidRPr="00726A1C" w:rsidRDefault="006647D7" w:rsidP="006647D7">
      <w:pPr>
        <w:spacing w:after="0" w:line="240" w:lineRule="auto"/>
        <w:ind w:left="1440" w:firstLine="720"/>
        <w:jc w:val="center"/>
        <w:rPr>
          <w:b/>
          <w:color w:val="7030A0"/>
          <w:sz w:val="20"/>
          <w:szCs w:val="20"/>
        </w:rPr>
      </w:pPr>
      <w:r w:rsidRPr="00726A1C">
        <w:rPr>
          <w:b/>
          <w:color w:val="7030A0"/>
          <w:sz w:val="20"/>
          <w:szCs w:val="20"/>
        </w:rPr>
        <w:t>N</w:t>
      </w:r>
      <w:r w:rsidR="00383089" w:rsidRPr="00726A1C">
        <w:rPr>
          <w:b/>
          <w:color w:val="7030A0"/>
          <w:sz w:val="20"/>
          <w:szCs w:val="20"/>
        </w:rPr>
        <w:t>ovember 14</w:t>
      </w:r>
      <w:r w:rsidR="00E70014" w:rsidRPr="00726A1C">
        <w:rPr>
          <w:b/>
          <w:color w:val="7030A0"/>
          <w:sz w:val="20"/>
          <w:szCs w:val="20"/>
        </w:rPr>
        <w:t>, 2014</w:t>
      </w:r>
    </w:p>
    <w:p w:rsidR="00383089" w:rsidRPr="00726A1C" w:rsidRDefault="00E70014" w:rsidP="006647D7">
      <w:pPr>
        <w:spacing w:after="0" w:line="240" w:lineRule="auto"/>
        <w:ind w:left="1440" w:firstLine="720"/>
        <w:jc w:val="center"/>
        <w:rPr>
          <w:b/>
          <w:color w:val="7030A0"/>
          <w:sz w:val="20"/>
          <w:szCs w:val="20"/>
        </w:rPr>
      </w:pPr>
      <w:r w:rsidRPr="00726A1C">
        <w:rPr>
          <w:b/>
          <w:color w:val="7030A0"/>
          <w:sz w:val="20"/>
          <w:szCs w:val="20"/>
        </w:rPr>
        <w:t>Erickson Kiva</w:t>
      </w:r>
    </w:p>
    <w:p w:rsidR="00E70014" w:rsidRPr="00726A1C" w:rsidRDefault="00E70014" w:rsidP="006647D7">
      <w:pPr>
        <w:pStyle w:val="ListParagraph"/>
        <w:spacing w:after="0" w:line="240" w:lineRule="auto"/>
        <w:ind w:left="2160"/>
        <w:jc w:val="center"/>
        <w:rPr>
          <w:b/>
          <w:color w:val="7030A0"/>
          <w:sz w:val="20"/>
          <w:szCs w:val="20"/>
        </w:rPr>
      </w:pPr>
      <w:r w:rsidRPr="00726A1C">
        <w:rPr>
          <w:b/>
          <w:color w:val="7030A0"/>
          <w:sz w:val="20"/>
          <w:szCs w:val="20"/>
        </w:rPr>
        <w:t>11:00 a.m. to 12:30 p.m. and</w:t>
      </w:r>
    </w:p>
    <w:p w:rsidR="00E70014" w:rsidRPr="00D14BF8" w:rsidRDefault="00E70014" w:rsidP="006647D7">
      <w:pPr>
        <w:pStyle w:val="ListParagraph"/>
        <w:spacing w:after="0" w:line="240" w:lineRule="auto"/>
        <w:ind w:left="2160"/>
        <w:jc w:val="center"/>
        <w:rPr>
          <w:b/>
          <w:color w:val="7030A0"/>
          <w:sz w:val="20"/>
          <w:szCs w:val="20"/>
        </w:rPr>
      </w:pPr>
      <w:r w:rsidRPr="00D14BF8">
        <w:rPr>
          <w:b/>
          <w:color w:val="7030A0"/>
          <w:sz w:val="20"/>
          <w:szCs w:val="20"/>
        </w:rPr>
        <w:t>1:30p.m. to 3:00 p.m.</w:t>
      </w:r>
    </w:p>
    <w:p w:rsidR="00E70014" w:rsidRPr="00D14BF8" w:rsidRDefault="00E70014" w:rsidP="00E70014">
      <w:pPr>
        <w:pStyle w:val="ListParagraph"/>
        <w:ind w:left="2160"/>
        <w:rPr>
          <w:b/>
          <w:color w:val="7030A0"/>
          <w:sz w:val="20"/>
          <w:szCs w:val="20"/>
        </w:rPr>
      </w:pPr>
      <w:bookmarkStart w:id="0" w:name="_GoBack"/>
      <w:bookmarkEnd w:id="0"/>
    </w:p>
    <w:p w:rsidR="009C428E" w:rsidRPr="00D14BF8" w:rsidRDefault="009C428E" w:rsidP="009C42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4BF8">
        <w:rPr>
          <w:sz w:val="20"/>
          <w:szCs w:val="20"/>
        </w:rPr>
        <w:t>Departmental Access Reports</w:t>
      </w:r>
      <w:r w:rsidR="00E70014" w:rsidRPr="00D14BF8">
        <w:rPr>
          <w:sz w:val="20"/>
          <w:szCs w:val="20"/>
        </w:rPr>
        <w:t>: you should have received your report from</w:t>
      </w:r>
      <w:r w:rsidR="006647D7" w:rsidRPr="00D14BF8">
        <w:rPr>
          <w:sz w:val="20"/>
          <w:szCs w:val="20"/>
        </w:rPr>
        <w:t xml:space="preserve"> Connor Hubbard on February 14, 2014.</w:t>
      </w:r>
      <w:r w:rsidR="00E70014" w:rsidRPr="00D14BF8">
        <w:rPr>
          <w:sz w:val="20"/>
          <w:szCs w:val="20"/>
        </w:rPr>
        <w:t xml:space="preserve"> </w:t>
      </w:r>
      <w:r w:rsidR="006647D7" w:rsidRPr="00D14BF8">
        <w:rPr>
          <w:sz w:val="20"/>
          <w:szCs w:val="20"/>
        </w:rPr>
        <w:t xml:space="preserve">Copies </w:t>
      </w:r>
      <w:r w:rsidR="00B248E7" w:rsidRPr="00D14BF8">
        <w:rPr>
          <w:sz w:val="20"/>
          <w:szCs w:val="20"/>
        </w:rPr>
        <w:t xml:space="preserve">of spreadsheets </w:t>
      </w:r>
      <w:r w:rsidR="006647D7" w:rsidRPr="00D14BF8">
        <w:rPr>
          <w:sz w:val="20"/>
          <w:szCs w:val="20"/>
        </w:rPr>
        <w:t>are attached. Keep in mind this is a snapshot from early 2014.</w:t>
      </w:r>
    </w:p>
    <w:p w:rsidR="009C428E" w:rsidRPr="00726A1C" w:rsidRDefault="009C428E" w:rsidP="009C42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 xml:space="preserve">Have units reviewed reports distributed earlier this year. Departments need to make sure people have proper/appropriate </w:t>
      </w:r>
      <w:r w:rsidR="00383089" w:rsidRPr="00726A1C">
        <w:rPr>
          <w:sz w:val="20"/>
          <w:szCs w:val="20"/>
        </w:rPr>
        <w:t>roles/</w:t>
      </w:r>
      <w:r w:rsidRPr="00726A1C">
        <w:rPr>
          <w:sz w:val="20"/>
          <w:szCs w:val="20"/>
        </w:rPr>
        <w:t>access in EBS.</w:t>
      </w:r>
    </w:p>
    <w:p w:rsidR="009C428E" w:rsidRPr="00726A1C" w:rsidRDefault="009C428E" w:rsidP="009C42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Is access being removed when someone leaves a unit?</w:t>
      </w:r>
    </w:p>
    <w:p w:rsidR="009C428E" w:rsidRPr="00726A1C" w:rsidRDefault="009C428E" w:rsidP="009C42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Is access being changed/removed accordingly when a position changes (i.e. if no longer a manager, Manager Self Service access should be removed).</w:t>
      </w:r>
    </w:p>
    <w:p w:rsidR="00C03268" w:rsidRPr="00726A1C" w:rsidRDefault="00C03268" w:rsidP="00C03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Critical Functions</w:t>
      </w:r>
    </w:p>
    <w:p w:rsidR="00C03268" w:rsidRPr="00726A1C" w:rsidRDefault="00C03268" w:rsidP="00C032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Departments must determine if there are critical functions for their unit in the case of a university closure.</w:t>
      </w:r>
    </w:p>
    <w:p w:rsidR="00C03268" w:rsidRPr="00726A1C" w:rsidRDefault="00C03268" w:rsidP="00C032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What employees are responsible for these functions – does the employee know they are de</w:t>
      </w:r>
      <w:r w:rsidR="00383089" w:rsidRPr="00726A1C">
        <w:rPr>
          <w:sz w:val="20"/>
          <w:szCs w:val="20"/>
        </w:rPr>
        <w:t xml:space="preserve">signated as </w:t>
      </w:r>
      <w:r w:rsidRPr="00726A1C">
        <w:rPr>
          <w:sz w:val="20"/>
          <w:szCs w:val="20"/>
        </w:rPr>
        <w:t>a critical employee</w:t>
      </w:r>
      <w:r w:rsidR="00383089" w:rsidRPr="00726A1C">
        <w:rPr>
          <w:sz w:val="20"/>
          <w:szCs w:val="20"/>
        </w:rPr>
        <w:t>? What if they cannot make it to work?</w:t>
      </w:r>
    </w:p>
    <w:p w:rsidR="00C03268" w:rsidRPr="00726A1C" w:rsidRDefault="00C03268" w:rsidP="00C032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University is open for business on December 24 and December 31 this year. Prepare for low staffing. If</w:t>
      </w:r>
      <w:r w:rsidR="00383089" w:rsidRPr="00726A1C">
        <w:rPr>
          <w:sz w:val="20"/>
          <w:szCs w:val="20"/>
        </w:rPr>
        <w:t xml:space="preserve"> chairperson makes the</w:t>
      </w:r>
      <w:r w:rsidRPr="00726A1C">
        <w:rPr>
          <w:sz w:val="20"/>
          <w:szCs w:val="20"/>
        </w:rPr>
        <w:t xml:space="preserve"> decision to close office more than two hours early, please inform Kris Hynes what time your office will be closing for the day.</w:t>
      </w:r>
    </w:p>
    <w:p w:rsidR="00C03268" w:rsidRPr="00726A1C" w:rsidRDefault="00C03268" w:rsidP="00C03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Health Care Payout – those regular, benefits eligible, employees who are on the payroll as of January 1, 2015, will receive another lump sum payment in their January paycheck, similar to January 2014.</w:t>
      </w:r>
    </w:p>
    <w:p w:rsidR="00C03268" w:rsidRPr="00726A1C" w:rsidRDefault="00C03268" w:rsidP="00C03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MI WIN program.</w:t>
      </w:r>
    </w:p>
    <w:p w:rsidR="00C03268" w:rsidRPr="00726A1C" w:rsidRDefault="00C03268" w:rsidP="00C032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 xml:space="preserve">NSF </w:t>
      </w:r>
      <w:proofErr w:type="gramStart"/>
      <w:r w:rsidRPr="00726A1C">
        <w:rPr>
          <w:sz w:val="20"/>
          <w:szCs w:val="20"/>
        </w:rPr>
        <w:t>grant</w:t>
      </w:r>
      <w:proofErr w:type="gramEnd"/>
      <w:r w:rsidRPr="00726A1C">
        <w:rPr>
          <w:sz w:val="20"/>
          <w:szCs w:val="20"/>
        </w:rPr>
        <w:t xml:space="preserve"> to assist with spousal placement</w:t>
      </w:r>
      <w:r w:rsidR="00383089" w:rsidRPr="00726A1C">
        <w:rPr>
          <w:sz w:val="20"/>
          <w:szCs w:val="20"/>
        </w:rPr>
        <w:t>.</w:t>
      </w:r>
    </w:p>
    <w:p w:rsidR="00C03268" w:rsidRPr="00726A1C" w:rsidRDefault="00C03268" w:rsidP="00C032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Request must come from departmental chairperson</w:t>
      </w:r>
      <w:r w:rsidR="00383089" w:rsidRPr="00726A1C">
        <w:rPr>
          <w:sz w:val="20"/>
          <w:szCs w:val="20"/>
        </w:rPr>
        <w:t>.</w:t>
      </w:r>
    </w:p>
    <w:p w:rsidR="00C03268" w:rsidRPr="00726A1C" w:rsidRDefault="00C03268" w:rsidP="00C032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A1C">
        <w:rPr>
          <w:sz w:val="20"/>
          <w:szCs w:val="20"/>
        </w:rPr>
        <w:t>Brochures available – contact Renee Gagnier.</w:t>
      </w:r>
    </w:p>
    <w:p w:rsidR="009D6300" w:rsidRPr="00726A1C" w:rsidRDefault="009D6300">
      <w:pPr>
        <w:rPr>
          <w:sz w:val="20"/>
          <w:szCs w:val="20"/>
        </w:rPr>
      </w:pPr>
    </w:p>
    <w:p w:rsidR="009D6300" w:rsidRPr="00726A1C" w:rsidRDefault="009D6300">
      <w:pPr>
        <w:rPr>
          <w:sz w:val="20"/>
          <w:szCs w:val="20"/>
        </w:rPr>
      </w:pPr>
    </w:p>
    <w:sectPr w:rsidR="009D6300" w:rsidRPr="00726A1C" w:rsidSect="009D6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59E"/>
    <w:multiLevelType w:val="hybridMultilevel"/>
    <w:tmpl w:val="232E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0"/>
    <w:rsid w:val="00383089"/>
    <w:rsid w:val="005C662E"/>
    <w:rsid w:val="006647D7"/>
    <w:rsid w:val="00726A1C"/>
    <w:rsid w:val="0084617B"/>
    <w:rsid w:val="008C0EEB"/>
    <w:rsid w:val="009C428E"/>
    <w:rsid w:val="009D6300"/>
    <w:rsid w:val="00B248E7"/>
    <w:rsid w:val="00B55D0A"/>
    <w:rsid w:val="00C03268"/>
    <w:rsid w:val="00D14BF8"/>
    <w:rsid w:val="00E70014"/>
    <w:rsid w:val="00F0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Gagnier, Renee</dc:creator>
  <cp:lastModifiedBy>O'Mara, Hannah</cp:lastModifiedBy>
  <cp:revision>2</cp:revision>
  <dcterms:created xsi:type="dcterms:W3CDTF">2014-11-07T15:29:00Z</dcterms:created>
  <dcterms:modified xsi:type="dcterms:W3CDTF">2014-11-07T15:29:00Z</dcterms:modified>
</cp:coreProperties>
</file>